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z w:val="32"/>
          <w:szCs w:val="32"/>
        </w:rPr>
      </w:pPr>
      <w:r>
        <w:rPr>
          <w:b/>
          <w:sz w:val="32"/>
          <w:szCs w:val="32"/>
        </w:rPr>
      </w:r>
    </w:p>
    <w:p>
      <w:pPr>
        <w:pStyle w:val="Normal"/>
        <w:spacing w:lineRule="auto" w:line="480"/>
        <w:jc w:val="center"/>
        <w:rPr>
          <w:b/>
          <w:sz w:val="32"/>
          <w:szCs w:val="32"/>
        </w:rPr>
      </w:pPr>
      <w:r>
        <w:rPr>
          <w:b/>
          <w:sz w:val="32"/>
          <w:szCs w:val="32"/>
        </w:rPr>
        <w:t>Contributor’s Guidelines</w:t>
      </w:r>
    </w:p>
    <w:p>
      <w:pPr>
        <w:pStyle w:val="Normal"/>
        <w:spacing w:lineRule="auto" w:line="480"/>
        <w:jc w:val="center"/>
        <w:rPr>
          <w:b/>
          <w:sz w:val="32"/>
          <w:szCs w:val="32"/>
        </w:rPr>
      </w:pPr>
      <w:r>
        <w:rPr>
          <w:b/>
          <w:sz w:val="32"/>
          <w:szCs w:val="32"/>
        </w:rPr>
        <w:t>Ancient Christian Study Bible</w:t>
      </w:r>
    </w:p>
    <w:p>
      <w:pPr>
        <w:pStyle w:val="Normal"/>
        <w:spacing w:lineRule="auto" w:line="480"/>
        <w:jc w:val="center"/>
        <w:rPr>
          <w:b/>
          <w:sz w:val="32"/>
          <w:szCs w:val="32"/>
        </w:rPr>
      </w:pPr>
      <w:r>
        <w:rPr>
          <w:b/>
          <w:sz w:val="32"/>
          <w:szCs w:val="32"/>
        </w:rPr>
        <w:t>(ACSB)</w:t>
      </w:r>
    </w:p>
    <w:p>
      <w:pPr>
        <w:pStyle w:val="Normal"/>
        <w:spacing w:lineRule="auto" w:line="480"/>
        <w:jc w:val="center"/>
        <w:rPr>
          <w:b/>
          <w:sz w:val="32"/>
          <w:szCs w:val="32"/>
        </w:rPr>
      </w:pPr>
      <w:r>
        <w:rPr>
          <w:b/>
          <w:sz w:val="32"/>
          <w:szCs w:val="32"/>
        </w:rPr>
      </w:r>
    </w:p>
    <w:p>
      <w:pPr>
        <w:pStyle w:val="Normal"/>
        <w:spacing w:lineRule="auto" w:line="480"/>
        <w:rPr>
          <w:b/>
        </w:rPr>
      </w:pPr>
      <w:r>
        <w:rPr>
          <w:b/>
        </w:rPr>
        <w:t>Annotator:</w:t>
      </w:r>
      <w:bookmarkStart w:id="0" w:name="_GoBack"/>
      <w:bookmarkEnd w:id="0"/>
    </w:p>
    <w:p>
      <w:pPr>
        <w:pStyle w:val="Normal"/>
        <w:spacing w:lineRule="auto" w:line="480"/>
        <w:rPr>
          <w:b/>
        </w:rPr>
      </w:pPr>
      <w:r>
        <w:rPr>
          <w:b/>
        </w:rPr>
        <w:t>Book(s) to be introduced and annotated:</w:t>
      </w:r>
    </w:p>
    <w:p>
      <w:pPr>
        <w:pStyle w:val="Normal"/>
        <w:spacing w:lineRule="auto" w:line="480"/>
        <w:rPr>
          <w:b/>
        </w:rPr>
      </w:pPr>
      <w:r>
        <w:rPr>
          <w:b/>
        </w:rPr>
        <w:t xml:space="preserve">Total word count: </w:t>
      </w:r>
    </w:p>
    <w:p>
      <w:pPr>
        <w:pStyle w:val="Normal"/>
        <w:spacing w:lineRule="auto" w:line="480"/>
        <w:rPr>
          <w:b/>
        </w:rPr>
      </w:pPr>
      <w:r>
        <w:rPr>
          <w:b/>
        </w:rPr>
        <w:t>Area editor:</w:t>
      </w:r>
    </w:p>
    <w:p>
      <w:pPr>
        <w:pStyle w:val="Normal"/>
        <w:spacing w:lineRule="auto" w:line="480"/>
        <w:rPr/>
      </w:pPr>
      <w:r>
        <w:rPr/>
      </w:r>
    </w:p>
    <w:p>
      <w:pPr>
        <w:pStyle w:val="Normal"/>
        <w:spacing w:lineRule="auto" w:line="480"/>
        <w:rPr/>
      </w:pPr>
      <w:r>
        <w:rPr/>
        <w:t xml:space="preserve">You are invited to contribute introductions and annotations to </w:t>
      </w:r>
      <w:r>
        <w:rPr>
          <w:i/>
        </w:rPr>
        <w:t>The Ancient Study Bible</w:t>
      </w:r>
      <w:r>
        <w:rPr/>
        <w:t xml:space="preserve"> (ACSB), a study Bible based on the “ACSB Bible Text” (i.e., a revised version of Brenton, </w:t>
      </w:r>
      <w:r>
        <w:rPr>
          <w:i/>
        </w:rPr>
        <w:t>Septuagint with Apocrypha</w:t>
      </w:r>
      <w:r>
        <w:rPr/>
        <w:t xml:space="preserve"> for the Old Testament, and a revised version of </w:t>
      </w:r>
      <w:r>
        <w:rPr>
          <w:i/>
        </w:rPr>
        <w:t>King James Version</w:t>
      </w:r>
      <w:r>
        <w:rPr/>
        <w:t xml:space="preserve"> for the New Testament; see below). </w:t>
      </w:r>
    </w:p>
    <w:p>
      <w:pPr>
        <w:pStyle w:val="Normal"/>
        <w:spacing w:lineRule="auto" w:line="480"/>
        <w:ind w:firstLine="720"/>
        <w:rPr/>
      </w:pPr>
      <w:r>
        <w:rPr/>
        <w:t>These guidelines are general ones to help make the appearance and content of all study materials consistent. Please follow them as closely as possible; if your contribution diverges from them significantly, it will be returned to you for revision. It is very important that you adhere to the recommended word limit for your section so that we maintain an appropriate balance in the volume.</w:t>
      </w:r>
    </w:p>
    <w:p>
      <w:pPr>
        <w:pStyle w:val="Normal"/>
        <w:spacing w:lineRule="auto" w:line="480"/>
        <w:rPr/>
      </w:pPr>
      <w:r>
        <w:rPr/>
        <w:tab/>
        <w:t>We strongly encourage you to communicate with your area editor as you proceed. We also would like you to submit a representative sample of your annotations to your area editor early in the process.</w:t>
      </w:r>
    </w:p>
    <w:p>
      <w:pPr>
        <w:pStyle w:val="Normal"/>
        <w:spacing w:lineRule="auto" w:line="480"/>
        <w:rPr/>
      </w:pPr>
      <w:r>
        <w:rPr/>
      </w:r>
    </w:p>
    <w:p>
      <w:pPr>
        <w:pStyle w:val="Normal"/>
        <w:spacing w:lineRule="auto" w:line="480"/>
        <w:rPr/>
      </w:pPr>
      <w:r>
        <w:rPr>
          <w:b/>
          <w:i/>
        </w:rPr>
        <w:t>Audience</w:t>
      </w:r>
    </w:p>
    <w:p>
      <w:pPr>
        <w:pStyle w:val="Normal"/>
        <w:spacing w:lineRule="auto" w:line="480"/>
        <w:rPr/>
      </w:pPr>
      <w:r>
        <w:rPr/>
        <w:t>The ACSB has several audiences: readers from many religious traditions as well as those who do not affiliate with any tradition; laypeople and clergy; college and seminary students. Anyone interested in reception history of the Bible, more precisely, in patristic interpretation, particularly Greek, Syriac and Latin (but not to the exclusion of Coptic, Armenian, Arabic, etc.) will be part of our anticipated readership including but not limited to: academic and non-academic, Christians of all backgrounds, as well as others interested in ancient Christian interpretation for purely historical reasons. The descriptive, non-confessional character of the ACSB will ensure that it has as wide a readership as possible.</w:t>
      </w:r>
    </w:p>
    <w:p>
      <w:pPr>
        <w:pStyle w:val="Normal"/>
        <w:spacing w:lineRule="auto" w:line="480"/>
        <w:ind w:firstLine="720"/>
        <w:rPr/>
      </w:pPr>
      <w:r>
        <w:rPr/>
        <w:t>Many readers will have little knowledge about the roles that particular texts have played among patristic interpreters. Therefore, all contributions need to address audiences with varying degrees of familiarity with ancient Christian interpretations. Please keep the several audiences in mind as you annotate your book(s).</w:t>
      </w:r>
    </w:p>
    <w:p>
      <w:pPr>
        <w:pStyle w:val="Normal"/>
        <w:spacing w:lineRule="auto" w:line="480"/>
        <w:rPr>
          <w:b/>
          <w:i/>
        </w:rPr>
      </w:pPr>
      <w:r>
        <w:rPr>
          <w:b/>
          <w:i/>
        </w:rPr>
      </w:r>
    </w:p>
    <w:p>
      <w:pPr>
        <w:pStyle w:val="Normal"/>
        <w:spacing w:lineRule="auto" w:line="480"/>
        <w:rPr>
          <w:b/>
          <w:i/>
        </w:rPr>
      </w:pPr>
      <w:r>
        <w:rPr>
          <w:b/>
          <w:i/>
        </w:rPr>
        <w:t>Bible base texts</w:t>
      </w:r>
    </w:p>
    <w:p>
      <w:pPr>
        <w:pStyle w:val="Normal"/>
        <w:spacing w:lineRule="auto" w:line="480"/>
        <w:rPr/>
      </w:pPr>
      <w:r>
        <w:rPr/>
        <w:t xml:space="preserve">The Bible base texts for ACSB are Brenton and KJV, both belonging to the public domain, hence fully revisable. NB: The Editor of this volume in conversation with OUP chose “public domain” Bibles (Brenton and KJV) so that the annotators may revise their base texts in alignment with the original Greek and patristic annotations. Copyright Bibles (e.g., NETS, NRSVue) do no permit such revision. </w:t>
      </w:r>
    </w:p>
    <w:p>
      <w:pPr>
        <w:pStyle w:val="Normal"/>
        <w:spacing w:lineRule="auto" w:line="480"/>
        <w:rPr/>
      </w:pPr>
      <w:r>
        <w:rPr/>
      </w:r>
    </w:p>
    <w:p>
      <w:pPr>
        <w:pStyle w:val="Normal"/>
        <w:spacing w:lineRule="auto" w:line="480"/>
        <w:ind w:firstLine="720"/>
        <w:rPr/>
      </w:pPr>
      <w:r>
        <w:rPr/>
        <w:t>We strongly encourage you, first, to update these base texts from a language point of view (e.g., “ye” to be replaced with “you,” etc.) and, second, to revise them content-wise, namely lexically and grammatically and to make the appropriate changes.</w:t>
      </w:r>
    </w:p>
    <w:p>
      <w:pPr>
        <w:pStyle w:val="Normal"/>
        <w:widowControl w:val="false"/>
        <w:spacing w:lineRule="auto" w:line="480"/>
        <w:rPr>
          <w:rFonts w:eastAsia="" w:eastAsiaTheme="minorEastAsia"/>
          <w:color w:val="000000"/>
        </w:rPr>
      </w:pPr>
      <w:r>
        <w:rPr>
          <w:u w:val="single"/>
        </w:rPr>
        <w:t xml:space="preserve">When you do the revision work please align the base texts to </w:t>
      </w:r>
      <w:r>
        <w:rPr>
          <w:i/>
          <w:u w:val="single"/>
        </w:rPr>
        <w:t>Göttingen Septuagint</w:t>
      </w:r>
      <w:r>
        <w:rPr>
          <w:u w:val="single"/>
        </w:rPr>
        <w:t>/Rahlfs for the Old Testament</w:t>
      </w:r>
      <w:r>
        <w:rPr>
          <w:u w:val="none"/>
        </w:rPr>
        <w:t>, and Nestle-Aland and Byzantine Textform (Robinson-Pierpont) for the New Testament.</w:t>
      </w:r>
      <w:r>
        <w:rPr/>
        <w:t xml:space="preserve"> In the case of New Testament revision, please </w:t>
      </w:r>
      <w:r>
        <w:rPr>
          <w:u w:val="none"/>
        </w:rPr>
        <w:t xml:space="preserve">take into account the </w:t>
      </w:r>
      <w:r>
        <w:rPr>
          <w:i/>
          <w:u w:val="none"/>
        </w:rPr>
        <w:t>Patriarchal New Testament Text</w:t>
      </w:r>
      <w:r>
        <w:rPr/>
        <w:t xml:space="preserve"> (Constantinople, 1904; see also </w:t>
      </w:r>
      <w:r>
        <w:rPr>
          <w:i/>
        </w:rPr>
        <w:t>The Greek New Testament</w:t>
      </w:r>
      <w:r>
        <w:rPr/>
        <w:t xml:space="preserve"> prepared by an international inter-confessional committee and published by the United Bible Societies (1966; 3</w:t>
      </w:r>
      <w:r>
        <w:rPr>
          <w:vertAlign w:val="superscript"/>
        </w:rPr>
        <w:t>rd</w:t>
      </w:r>
      <w:r>
        <w:rPr/>
        <w:t xml:space="preserve"> corrected edition, 1983).</w:t>
      </w:r>
    </w:p>
    <w:p>
      <w:pPr>
        <w:pStyle w:val="Normal"/>
        <w:spacing w:lineRule="auto" w:line="480"/>
        <w:ind w:firstLine="720"/>
        <w:rPr/>
      </w:pPr>
      <w:r>
        <w:rPr/>
        <w:t>While revising base texts, look at other available English translations.</w:t>
      </w:r>
    </w:p>
    <w:p>
      <w:pPr>
        <w:pStyle w:val="Normal"/>
        <w:spacing w:lineRule="auto" w:line="480"/>
        <w:ind w:firstLine="720"/>
        <w:rPr/>
      </w:pPr>
      <w:r>
        <w:rPr/>
        <w:t>For the Septuagint text of the Old Testament:</w:t>
      </w:r>
    </w:p>
    <w:p>
      <w:pPr>
        <w:pStyle w:val="ListParagraph"/>
        <w:numPr>
          <w:ilvl w:val="0"/>
          <w:numId w:val="7"/>
        </w:numPr>
        <w:spacing w:lineRule="auto" w:line="480"/>
        <w:rPr/>
      </w:pPr>
      <w:r>
        <w:rPr/>
        <w:t xml:space="preserve">Albert Pietersma and Benjamin G. Wright, eds., </w:t>
      </w:r>
      <w:r>
        <w:rPr>
          <w:i/>
        </w:rPr>
        <w:t>A New English Translation of the Septuagint and the Other Greek Translations Traditionally Included under that Title</w:t>
      </w:r>
      <w:r>
        <w:rPr/>
        <w:t xml:space="preserve"> (Oxford University Press, 2007) [abbreviated NETS].</w:t>
      </w:r>
    </w:p>
    <w:p>
      <w:pPr>
        <w:pStyle w:val="ListParagraph"/>
        <w:numPr>
          <w:ilvl w:val="0"/>
          <w:numId w:val="7"/>
        </w:numPr>
        <w:spacing w:lineRule="auto" w:line="480"/>
        <w:rPr/>
      </w:pPr>
      <w:r>
        <w:rPr/>
        <w:t xml:space="preserve">Nicholas King, </w:t>
      </w:r>
      <w:r>
        <w:rPr>
          <w:i/>
        </w:rPr>
        <w:t>The Bible: A Study Bible Freshly Translated by Nicholas King</w:t>
      </w:r>
      <w:r>
        <w:rPr/>
        <w:t xml:space="preserve"> (Kevin Mayhew Publisher, 2013).</w:t>
      </w:r>
    </w:p>
    <w:p>
      <w:pPr>
        <w:pStyle w:val="Normal"/>
        <w:spacing w:lineRule="auto" w:line="480"/>
        <w:rPr/>
      </w:pPr>
      <w:r>
        <w:rPr/>
        <w:t>For the New Testament:</w:t>
      </w:r>
    </w:p>
    <w:p>
      <w:pPr>
        <w:pStyle w:val="ListParagraph"/>
        <w:numPr>
          <w:ilvl w:val="0"/>
          <w:numId w:val="8"/>
        </w:numPr>
        <w:shd w:val="clear" w:color="auto" w:fill="FFFFFF"/>
        <w:spacing w:lineRule="auto" w:line="480"/>
        <w:jc w:val="both"/>
        <w:outlineLvl w:val="0"/>
        <w:rPr>
          <w:bCs/>
          <w:color w:val="0F1111"/>
          <w:kern w:val="2"/>
        </w:rPr>
      </w:pPr>
      <w:r>
        <w:rPr>
          <w:bCs/>
          <w:i/>
          <w:color w:val="0F1111"/>
          <w:kern w:val="2"/>
        </w:rPr>
        <w:t>EOB: The Eastern Greek Orthodox New Testament: Based on the Patriarchal Text of 1904</w:t>
      </w:r>
      <w:r>
        <w:rPr>
          <w:bCs/>
          <w:color w:val="0F1111"/>
          <w:kern w:val="2"/>
        </w:rPr>
        <w:t xml:space="preserve"> with Extensive Variants (CreateSpace Publisher, 2013).</w:t>
      </w:r>
    </w:p>
    <w:p>
      <w:pPr>
        <w:pStyle w:val="ListParagraph"/>
        <w:numPr>
          <w:ilvl w:val="0"/>
          <w:numId w:val="8"/>
        </w:numPr>
        <w:shd w:val="clear" w:color="auto" w:fill="FFFFFF"/>
        <w:spacing w:lineRule="auto" w:line="480"/>
        <w:jc w:val="both"/>
        <w:outlineLvl w:val="0"/>
        <w:rPr>
          <w:bCs/>
          <w:color w:val="0F1111"/>
          <w:kern w:val="2"/>
        </w:rPr>
      </w:pPr>
      <w:r>
        <w:rPr>
          <w:bCs/>
          <w:i/>
          <w:color w:val="0F1111"/>
          <w:kern w:val="2"/>
        </w:rPr>
        <w:t>NRSV Updated Edition</w:t>
      </w:r>
      <w:r>
        <w:rPr>
          <w:bCs/>
          <w:color w:val="0F1111"/>
          <w:kern w:val="2"/>
        </w:rPr>
        <w:t xml:space="preserve"> [NRSVue] (Friendship Press, 2022; available on amazon.com).</w:t>
      </w:r>
    </w:p>
    <w:p>
      <w:pPr>
        <w:pStyle w:val="Normal"/>
        <w:spacing w:lineRule="auto" w:line="480"/>
        <w:ind w:firstLine="360"/>
        <w:rPr/>
      </w:pPr>
      <w:r>
        <w:rPr/>
        <w:t>All these Bible translations (except NRSVue) are to be found in the folder labeled “ACSB Resources for Annotators.”</w:t>
      </w:r>
    </w:p>
    <w:p>
      <w:pPr>
        <w:pStyle w:val="Normal"/>
        <w:spacing w:lineRule="auto" w:line="480"/>
        <w:rPr/>
      </w:pPr>
      <w:r>
        <w:rPr/>
      </w:r>
    </w:p>
    <w:p>
      <w:pPr>
        <w:pStyle w:val="Normal"/>
        <w:spacing w:lineRule="auto" w:line="480"/>
        <w:ind w:firstLine="360"/>
        <w:rPr/>
      </w:pPr>
      <w:r>
        <w:rPr/>
        <w:t>At the end of annotating process, we plan to have a translation review committee looking at your revisions to make sure that the revised base text runs smoothly. Your revised translations will be labeled “ACSB Bible Text” (rather than “Revised Brenton and KJV Text”).</w:t>
      </w:r>
    </w:p>
    <w:p>
      <w:pPr>
        <w:pStyle w:val="Normal"/>
        <w:spacing w:lineRule="auto" w:line="480"/>
        <w:rPr/>
      </w:pPr>
      <w:r>
        <w:rPr/>
      </w:r>
    </w:p>
    <w:p>
      <w:pPr>
        <w:pStyle w:val="Normal"/>
        <w:spacing w:lineRule="auto" w:line="480"/>
        <w:rPr/>
      </w:pPr>
      <w:r>
        <w:rPr>
          <w:b/>
          <w:i/>
        </w:rPr>
        <w:t>Contents</w:t>
      </w:r>
    </w:p>
    <w:p>
      <w:pPr>
        <w:pStyle w:val="Normal"/>
        <w:spacing w:lineRule="auto" w:line="480"/>
        <w:rPr/>
      </w:pPr>
      <w:r>
        <w:rPr/>
        <w:t xml:space="preserve">The ACSB will consist of the text of the Bible; introductions to each book; annotations on specific matters in the text (see below for annotation instructions); essays; charts (for instance, lists of parallel texts); timelines; maps; lists of patristic sources employed in annotations; and glossary terms. </w:t>
      </w:r>
    </w:p>
    <w:p>
      <w:pPr>
        <w:pStyle w:val="Normal"/>
        <w:spacing w:lineRule="auto" w:line="480"/>
        <w:rPr/>
      </w:pPr>
      <w:r>
        <w:rPr/>
      </w:r>
    </w:p>
    <w:p>
      <w:pPr>
        <w:pStyle w:val="Normal"/>
        <w:spacing w:lineRule="auto" w:line="480"/>
        <w:rPr/>
      </w:pPr>
      <w:r>
        <w:rPr>
          <w:b/>
          <w:i/>
        </w:rPr>
        <w:t>Introductions to individual books</w:t>
      </w:r>
    </w:p>
    <w:p>
      <w:pPr>
        <w:pStyle w:val="Normal"/>
        <w:spacing w:lineRule="auto" w:line="480"/>
        <w:rPr/>
      </w:pPr>
      <w:r>
        <w:rPr/>
        <w:t xml:space="preserve">Each book of the Bible will have an introduction that orients readers to the book’s contents, structure, and main ideas. In the case of related writings (e.g., 1 and 2 Samuel, Luke-Acts) the introduction may refer to information (such as about authorship) given elsewhere. In most cases, except for very short books, </w:t>
      </w:r>
      <w:r>
        <w:rPr>
          <w:u w:val="single"/>
        </w:rPr>
        <w:t>the introduction should fill at least one printed book page (i.e., ca. 700–750 words). Important and lengthy books will have longer introductions—up to four printed book pages (i.e., ca. 2800 words)</w:t>
      </w:r>
      <w:r>
        <w:rPr/>
        <w:t>.</w:t>
      </w:r>
    </w:p>
    <w:p>
      <w:pPr>
        <w:pStyle w:val="Normal"/>
        <w:spacing w:lineRule="auto" w:line="480"/>
        <w:rPr/>
      </w:pPr>
      <w:r>
        <w:rPr/>
        <w:tab/>
        <w:t xml:space="preserve">To make information easy for readers to find, you should use these subheadings, which cover a </w:t>
      </w:r>
      <w:r>
        <w:rPr>
          <w:u w:val="single"/>
        </w:rPr>
        <w:t>broad range of introductory issues</w:t>
      </w:r>
      <w:r>
        <w:rPr/>
        <w:t xml:space="preserve">:  </w:t>
      </w:r>
    </w:p>
    <w:p>
      <w:pPr>
        <w:pStyle w:val="Normal"/>
        <w:numPr>
          <w:ilvl w:val="0"/>
          <w:numId w:val="1"/>
        </w:numPr>
        <w:spacing w:lineRule="auto" w:line="480"/>
        <w:rPr/>
      </w:pPr>
      <w:r>
        <w:rPr/>
        <w:t>Name (including the Septuagint name)</w:t>
      </w:r>
    </w:p>
    <w:p>
      <w:pPr>
        <w:pStyle w:val="Normal"/>
        <w:numPr>
          <w:ilvl w:val="0"/>
          <w:numId w:val="1"/>
        </w:numPr>
        <w:spacing w:lineRule="auto" w:line="480"/>
        <w:rPr/>
      </w:pPr>
      <w:r>
        <w:rPr/>
        <w:t>Canonical Status and Location in Canon</w:t>
      </w:r>
    </w:p>
    <w:p>
      <w:pPr>
        <w:pStyle w:val="Normal"/>
        <w:numPr>
          <w:ilvl w:val="0"/>
          <w:numId w:val="1"/>
        </w:numPr>
        <w:spacing w:lineRule="auto" w:line="480"/>
        <w:rPr/>
      </w:pPr>
      <w:r>
        <w:rPr/>
        <w:t xml:space="preserve">Authorship, Date of Composition, and Historical Context </w:t>
      </w:r>
    </w:p>
    <w:p>
      <w:pPr>
        <w:pStyle w:val="Normal"/>
        <w:numPr>
          <w:ilvl w:val="0"/>
          <w:numId w:val="1"/>
        </w:numPr>
        <w:spacing w:lineRule="auto" w:line="480"/>
        <w:rPr/>
      </w:pPr>
      <w:r>
        <w:rPr/>
        <w:t>Structure and Contents: Discussion of structure should briefly explain how the book is organized, as indicated by major shifts in plot, theme, tone, character, etc. The discussion of structure should also include a basic outline, possibly expanded by short explanations. The headings in your outline should frame your annotations. We strongly encourage you to follow NOAB5’s division of pericopes (literary units) of the Bible while being creative in establishing your own headings (names) for each pericope (see below).</w:t>
      </w:r>
    </w:p>
    <w:p>
      <w:pPr>
        <w:pStyle w:val="Normal"/>
        <w:numPr>
          <w:ilvl w:val="0"/>
          <w:numId w:val="1"/>
        </w:numPr>
        <w:spacing w:lineRule="auto" w:line="480"/>
        <w:rPr/>
      </w:pPr>
      <w:r>
        <w:rPr/>
        <w:t xml:space="preserve">Interpretation: What were the meanings for the original audience/author, if recoverable? How has the text been interpreted over time (patristic reception history). What about this text was considered significant by the Church Fathers? </w:t>
      </w:r>
    </w:p>
    <w:p>
      <w:pPr>
        <w:pStyle w:val="Normal"/>
        <w:spacing w:lineRule="auto" w:line="480"/>
        <w:ind w:firstLine="720" w:start="720"/>
        <w:rPr/>
      </w:pPr>
      <w:r>
        <w:rPr/>
        <w:t>We ask you to list at the end of your introductions a brief list (up to 10 entries) of Church Fathers who dealt with the specific biblical book under consideration. The goal is not total comprehensiveness but rather to invite interest in the patristic interpretation of that biblical book.</w:t>
      </w:r>
    </w:p>
    <w:p>
      <w:pPr>
        <w:pStyle w:val="Normal"/>
        <w:spacing w:lineRule="auto" w:line="480"/>
        <w:ind w:firstLine="720" w:start="720"/>
        <w:rPr/>
      </w:pPr>
      <w:r>
        <w:rPr/>
        <w:t xml:space="preserve">NB: You might use NOAB5 and NETS (especially in matters related to the Greek translation) as a model when writing your introductions. </w:t>
      </w:r>
    </w:p>
    <w:p>
      <w:pPr>
        <w:pStyle w:val="Normal"/>
        <w:spacing w:lineRule="auto" w:line="480"/>
        <w:ind w:hanging="0" w:start="720"/>
        <w:rPr/>
      </w:pPr>
      <w:r>
        <w:rPr/>
        <w:t>The book intro is part of the allocated number of words (1-2 [maximum] printed pages)</w:t>
      </w:r>
    </w:p>
    <w:p>
      <w:pPr>
        <w:pStyle w:val="Normal"/>
        <w:spacing w:lineRule="auto" w:line="480"/>
        <w:ind w:hanging="0" w:start="0"/>
        <w:rPr/>
      </w:pPr>
      <w:r>
        <w:rPr/>
        <w:t>The usual format is the following:</w:t>
      </w:r>
    </w:p>
    <w:p>
      <w:pPr>
        <w:pStyle w:val="Normal"/>
        <w:spacing w:lineRule="auto" w:line="480"/>
        <w:ind w:hanging="0" w:start="720"/>
        <w:rPr>
          <w:b/>
          <w:bCs/>
        </w:rPr>
      </w:pPr>
      <w:r>
        <w:rPr>
          <w:b/>
          <w:bCs/>
        </w:rPr>
        <w:t>Name</w:t>
      </w:r>
    </w:p>
    <w:p>
      <w:pPr>
        <w:pStyle w:val="Normal"/>
        <w:spacing w:lineRule="auto" w:line="480"/>
        <w:ind w:hanging="0" w:start="720"/>
        <w:rPr>
          <w:b/>
          <w:bCs/>
        </w:rPr>
      </w:pPr>
      <w:r>
        <w:rPr>
          <w:b/>
          <w:bCs/>
        </w:rPr>
        <w:t>Canonical Status</w:t>
      </w:r>
    </w:p>
    <w:p>
      <w:pPr>
        <w:pStyle w:val="Normal"/>
        <w:spacing w:lineRule="auto" w:line="480"/>
        <w:ind w:hanging="0" w:start="720"/>
        <w:rPr>
          <w:b/>
          <w:bCs/>
        </w:rPr>
      </w:pPr>
      <w:r>
        <w:rPr>
          <w:b/>
          <w:bCs/>
        </w:rPr>
        <w:t>Authorship</w:t>
      </w:r>
    </w:p>
    <w:p>
      <w:pPr>
        <w:pStyle w:val="Normal"/>
        <w:spacing w:lineRule="auto" w:line="480"/>
        <w:ind w:hanging="0" w:start="720"/>
        <w:rPr>
          <w:b/>
          <w:bCs/>
        </w:rPr>
      </w:pPr>
      <w:r>
        <w:rPr>
          <w:b/>
          <w:bCs/>
        </w:rPr>
        <w:t>Structure and Contents</w:t>
      </w:r>
    </w:p>
    <w:p>
      <w:pPr>
        <w:pStyle w:val="Normal"/>
        <w:spacing w:lineRule="auto" w:line="480"/>
        <w:ind w:hanging="0" w:start="720"/>
        <w:rPr>
          <w:b/>
          <w:bCs/>
        </w:rPr>
      </w:pPr>
      <w:r>
        <w:rPr>
          <w:b/>
          <w:bCs/>
        </w:rPr>
        <w:t>Interpretation</w:t>
      </w:r>
    </w:p>
    <w:p>
      <w:pPr>
        <w:pStyle w:val="Normal"/>
        <w:spacing w:lineRule="auto" w:line="480"/>
        <w:ind w:hanging="0" w:start="720"/>
        <w:rPr/>
      </w:pPr>
      <w:r>
        <w:rPr/>
        <w:t>(Most on Patristic interpretation [i.e., who are the church fathers who wrote commentaries or simple glosses on that particular book], a few words on modern biblical exegesis of that book)</w:t>
      </w:r>
    </w:p>
    <w:p>
      <w:pPr>
        <w:pStyle w:val="Normal"/>
        <w:spacing w:lineRule="auto" w:line="480"/>
        <w:ind w:hanging="0" w:start="720"/>
        <w:rPr/>
      </w:pPr>
      <w:r>
        <w:rPr/>
        <w:t>*You are free to take the info from NOAB, while keeping in mind that for OT we work on the Septuagint text, and the focus is the patristic interpretation.</w:t>
      </w:r>
    </w:p>
    <w:p>
      <w:pPr>
        <w:pStyle w:val="Normal"/>
        <w:spacing w:lineRule="auto" w:line="480"/>
        <w:rPr>
          <w:b/>
          <w:i/>
        </w:rPr>
      </w:pPr>
      <w:r>
        <w:rPr>
          <w:b/>
          <w:i/>
        </w:rPr>
        <w:t>Annotations</w:t>
      </w:r>
    </w:p>
    <w:p>
      <w:pPr>
        <w:pStyle w:val="Normal"/>
        <w:spacing w:lineRule="auto" w:line="480"/>
        <w:rPr/>
      </w:pPr>
      <w:r>
        <w:rPr/>
        <w:t xml:space="preserve">An annotation highlights key features of the text rather than pursuing primarily the contributor’s own interpretative interests. It clarifies the most basic questions that an average reader of the text might have. </w:t>
      </w:r>
    </w:p>
    <w:p>
      <w:pPr>
        <w:pStyle w:val="Normal"/>
        <w:spacing w:lineRule="auto" w:line="480"/>
        <w:ind w:firstLine="720"/>
        <w:rPr/>
      </w:pPr>
      <w:r>
        <w:rPr/>
        <w:t>The ACSB contains three types of annotations.</w:t>
      </w:r>
    </w:p>
    <w:p>
      <w:pPr>
        <w:pStyle w:val="Normal"/>
        <w:spacing w:lineRule="auto" w:line="480"/>
        <w:rPr>
          <w:b/>
        </w:rPr>
      </w:pPr>
      <w:r>
        <w:rPr>
          <w:b/>
        </w:rPr>
        <w:t>(1) Textual</w:t>
      </w:r>
    </w:p>
    <w:p>
      <w:pPr>
        <w:pStyle w:val="Normal"/>
        <w:spacing w:lineRule="auto" w:line="480"/>
        <w:rPr/>
      </w:pPr>
      <w:r>
        <w:rPr/>
        <w:t xml:space="preserve">The textual notes should represent less than 5% of all annotations and be limited only to those </w:t>
      </w:r>
      <w:r>
        <w:rPr>
          <w:u w:val="single"/>
        </w:rPr>
        <w:t>rare situations when the difference among the main textual witnesses (i.e., Hebrew [pre- and Masoretic versions], Syriac [Peshitta], and Latin [Vulgate]) has a significant impact on patristic interpretation</w:t>
      </w:r>
      <w:r>
        <w:rPr/>
        <w:t xml:space="preserve">. </w:t>
      </w:r>
    </w:p>
    <w:p>
      <w:pPr>
        <w:pStyle w:val="Normal"/>
        <w:spacing w:lineRule="auto" w:line="480"/>
        <w:ind w:firstLine="720"/>
        <w:rPr/>
      </w:pPr>
      <w:r>
        <w:rPr/>
        <w:t>Textual notes will appear as endnotes at the end of the annotated book.</w:t>
      </w:r>
    </w:p>
    <w:p>
      <w:pPr>
        <w:pStyle w:val="Normal"/>
        <w:spacing w:lineRule="auto" w:line="480"/>
        <w:rPr/>
      </w:pPr>
      <w:r>
        <w:rPr/>
        <w:tab/>
        <w:t>See samples below.</w:t>
      </w:r>
    </w:p>
    <w:p>
      <w:pPr>
        <w:pStyle w:val="Normal"/>
        <w:spacing w:lineRule="auto" w:line="480"/>
        <w:rPr>
          <w:b/>
        </w:rPr>
      </w:pPr>
      <w:r>
        <w:rPr>
          <w:b/>
        </w:rPr>
        <w:t xml:space="preserve"> </w:t>
      </w:r>
      <w:r>
        <w:rPr>
          <w:b/>
        </w:rPr>
        <w:t>(2) Exegetical</w:t>
      </w:r>
    </w:p>
    <w:p>
      <w:pPr>
        <w:pStyle w:val="Normal"/>
        <w:spacing w:lineRule="auto" w:line="480"/>
        <w:rPr/>
      </w:pPr>
      <w:r>
        <w:rPr/>
        <w:t>The exegetical annotations, representing up to 5% of all annotations, clarify difficult terms and offer significant historical and geographical information.</w:t>
      </w:r>
    </w:p>
    <w:p>
      <w:pPr>
        <w:pStyle w:val="Normal"/>
        <w:spacing w:lineRule="auto" w:line="480"/>
        <w:rPr/>
      </w:pPr>
      <w:r>
        <w:rPr/>
        <w:tab/>
        <w:t xml:space="preserve">The exegetical annotations should be written pericope-by-pericope while targeting specific verses within that pericope. The boundaries of the pericope, its headings, and the targeted verses should appear in boldface (e.g., </w:t>
      </w:r>
      <w:r>
        <w:rPr>
          <w:b/>
        </w:rPr>
        <w:t>Hos 3.1–5: Love and Abstinence</w:t>
      </w:r>
      <w:r>
        <w:rPr/>
        <w:t xml:space="preserve">). See NOAB5 as an illustration of the layout of exegetical annotations. You may shorten and express in your own words the information found in the NOAB5’s exegetical annotations as well as in other Study Bibles (e.g., Oxford Catholic Study Bible, Jewish Study Bible, New Jerusalem Bible, Interpreters Bible, etc.), but keep in mind that these annotations should be 5% and the patristic annotations should amount to </w:t>
      </w:r>
      <w:r>
        <w:rPr/>
        <w:t>9</w:t>
      </w:r>
      <w:r>
        <w:rPr/>
        <w:t xml:space="preserve">0% of all annotations. </w:t>
      </w:r>
    </w:p>
    <w:p>
      <w:pPr>
        <w:pStyle w:val="Normal"/>
        <w:spacing w:lineRule="auto" w:line="480"/>
        <w:rPr/>
      </w:pPr>
      <w:r>
        <w:rPr/>
        <w:tab/>
        <w:t>See samples below.</w:t>
      </w:r>
    </w:p>
    <w:p>
      <w:pPr>
        <w:pStyle w:val="Normal"/>
        <w:spacing w:lineRule="auto" w:line="480"/>
        <w:rPr>
          <w:b/>
        </w:rPr>
      </w:pPr>
      <w:r>
        <w:rPr>
          <w:b/>
        </w:rPr>
        <w:t xml:space="preserve"> </w:t>
      </w:r>
      <w:r>
        <w:rPr>
          <w:b/>
        </w:rPr>
        <w:t>(3) Patristic</w:t>
      </w:r>
    </w:p>
    <w:p>
      <w:pPr>
        <w:pStyle w:val="Normal"/>
        <w:spacing w:lineRule="auto" w:line="480"/>
        <w:rPr/>
      </w:pPr>
      <w:r>
        <w:rPr/>
        <w:t xml:space="preserve">In this present edition, we ask that most annotations (approximately </w:t>
      </w:r>
      <w:r>
        <w:rPr/>
        <w:t>9</w:t>
      </w:r>
      <w:r>
        <w:rPr/>
        <w:t xml:space="preserve">0%) introduce the readers to the ancient Christian (Patristic) interpretation of the Bible. </w:t>
      </w:r>
    </w:p>
    <w:p>
      <w:pPr>
        <w:pStyle w:val="Normal"/>
        <w:spacing w:lineRule="auto" w:line="480"/>
        <w:ind w:firstLine="720"/>
        <w:rPr/>
      </w:pPr>
      <w:r>
        <w:rPr/>
        <w:t>The patristic annotations should deal with Patristic interpretations coming primarily from Greek, Syriac, and Latin writings, though not to the exclusion of interpretations in Coptic, Armenian, Arabic, Ge'ez, or any other language of ancient biblical interpretation.</w:t>
      </w:r>
    </w:p>
    <w:p>
      <w:pPr>
        <w:pStyle w:val="Normal"/>
        <w:spacing w:lineRule="auto" w:line="480"/>
        <w:ind w:firstLine="720"/>
        <w:rPr/>
      </w:pPr>
      <w:r>
        <w:rPr/>
        <w:t>There are no chronological limitations regarding the Patristic writers, but we ask you to focus on the most representative figures of patristic literature covering primarily the first millennium.</w:t>
      </w:r>
    </w:p>
    <w:p>
      <w:pPr>
        <w:pStyle w:val="Normal"/>
        <w:spacing w:lineRule="auto" w:line="480"/>
        <w:ind w:firstLine="720"/>
        <w:rPr/>
      </w:pPr>
      <w:r>
        <w:rPr/>
        <w:t>In selecting the Church Fathers and Mothers, you should take into account three leading criteria:</w:t>
      </w:r>
    </w:p>
    <w:p>
      <w:pPr>
        <w:pStyle w:val="ListParagraph"/>
        <w:numPr>
          <w:ilvl w:val="0"/>
          <w:numId w:val="2"/>
        </w:numPr>
        <w:spacing w:lineRule="auto" w:line="480"/>
        <w:rPr/>
      </w:pPr>
      <w:r>
        <w:rPr/>
        <w:t xml:space="preserve">Hermeneutics. Does the patristic interpretation bring light to a fuller understanding of the pericope? For instance, hermeneutical creativity, e.g., Ephrem the Syrian: God the Father deliberated and God the Son did the work (a canonical approach to the two Genesis accounts of creation). We encourage you to use those patristic interpretations that underscore the plain/historical and typological sense of the pericope. </w:t>
      </w:r>
    </w:p>
    <w:p>
      <w:pPr>
        <w:pStyle w:val="ListParagraph"/>
        <w:numPr>
          <w:ilvl w:val="0"/>
          <w:numId w:val="2"/>
        </w:numPr>
        <w:spacing w:lineRule="auto" w:line="480"/>
        <w:rPr/>
      </w:pPr>
      <w:r>
        <w:rPr/>
        <w:t xml:space="preserve">Theology. Does the selected patristic interpretation support Christian doctrine/theology? For instance, the patristic interpretation of Ezek 44:1–3 about the “shut gate” of the Temple, for Church Fathers symbolizing Mary’s womb was used as proof-text to support the dogma of Mary’s “ever-virginity” decreed at the Fifth Ecumenical Council, Constantinople, 553 CE) </w:t>
      </w:r>
    </w:p>
    <w:p>
      <w:pPr>
        <w:pStyle w:val="ListParagraph"/>
        <w:numPr>
          <w:ilvl w:val="0"/>
          <w:numId w:val="2"/>
        </w:numPr>
        <w:spacing w:lineRule="auto" w:line="480"/>
        <w:rPr/>
      </w:pPr>
      <w:r>
        <w:rPr/>
        <w:t xml:space="preserve">Spirituality. Does the selected patristic interpretation contribute to the spiritual growth of the reader? In other words, does the interpretation respond to spiritual needs and inquiries [i.e., ethical, existential, etc.] of the modern reader? </w:t>
      </w:r>
    </w:p>
    <w:p>
      <w:pPr>
        <w:pStyle w:val="Normal"/>
        <w:spacing w:lineRule="auto" w:line="480"/>
        <w:ind w:firstLine="720"/>
        <w:rPr/>
      </w:pPr>
      <w:r>
        <w:rPr/>
        <w:t>The patristic annotations should focus on the pericope as a whole, rather than on specific verses within that pericope (as the exegetical annotations do—see above).</w:t>
      </w:r>
    </w:p>
    <w:p>
      <w:pPr>
        <w:pStyle w:val="Normal"/>
        <w:spacing w:lineRule="auto" w:line="480"/>
        <w:rPr/>
      </w:pPr>
      <w:r>
        <w:rPr/>
        <w:tab/>
        <w:t xml:space="preserve">We ask you to summarize several patristic interpretations with your own words in a few lines of text followed by the patristic references within parentheses (see samples below). </w:t>
      </w:r>
      <w:r>
        <w:rPr>
          <w:u w:val="single"/>
        </w:rPr>
        <w:t xml:space="preserve">For patristic references within parentheses, please use the lists of abbreviations found in G. W. H. Lampe, ed., </w:t>
      </w:r>
      <w:r>
        <w:rPr>
          <w:i/>
          <w:u w:val="single"/>
        </w:rPr>
        <w:t>A Patristic Greek Lexicon</w:t>
      </w:r>
      <w:r>
        <w:rPr>
          <w:u w:val="single"/>
        </w:rPr>
        <w:t xml:space="preserve"> (Oxford University Press, 1969) or Albert Blaise, ed., </w:t>
      </w:r>
      <w:r>
        <w:rPr>
          <w:i/>
          <w:iCs/>
          <w:u w:val="single"/>
        </w:rPr>
        <w:t>Dictionnaire latin-français des auteurs chrétiens</w:t>
      </w:r>
      <w:r>
        <w:rPr/>
        <w:t>.</w:t>
      </w:r>
    </w:p>
    <w:p>
      <w:pPr>
        <w:pStyle w:val="Normal"/>
        <w:spacing w:lineRule="auto" w:line="480"/>
        <w:ind w:firstLine="720"/>
        <w:rPr>
          <w:u w:val="single"/>
        </w:rPr>
      </w:pPr>
      <w:r>
        <w:rPr>
          <w:u w:val="single"/>
        </w:rPr>
        <w:t xml:space="preserve">We encourage you to use modern (primarily English) translations of patristic works employed in your annotations. </w:t>
      </w:r>
    </w:p>
    <w:p>
      <w:pPr>
        <w:pStyle w:val="Normal"/>
        <w:spacing w:lineRule="auto" w:line="480"/>
        <w:ind w:firstLine="720"/>
        <w:rPr/>
      </w:pPr>
      <w:r>
        <w:rPr/>
        <w:t xml:space="preserve">At the end of your annotations please provide </w:t>
      </w:r>
      <w:r>
        <w:rPr>
          <w:u w:val="single"/>
        </w:rPr>
        <w:t>a list of modern translations of the Church Fathers you used. When a patristic work you want to use in your annotations has not been translated in a modern language, then list at the end of annotations the source you used (e.g., PG, PL, TLG, etc.)</w:t>
      </w:r>
      <w:r>
        <w:rPr/>
        <w:t>.</w:t>
      </w:r>
    </w:p>
    <w:p>
      <w:pPr>
        <w:pStyle w:val="Normal"/>
        <w:spacing w:lineRule="auto" w:line="480"/>
        <w:rPr>
          <w:b/>
        </w:rPr>
      </w:pPr>
      <w:r>
        <w:rPr/>
        <w:tab/>
      </w:r>
      <w:r>
        <w:rPr>
          <w:u w:val="single"/>
        </w:rPr>
        <w:t xml:space="preserve">When a biblical text generated lengthy patristic interpretations and theological reflections/applications (e.g., Gen 1.26–27: </w:t>
      </w:r>
      <w:r>
        <w:rPr>
          <w:i/>
          <w:u w:val="single"/>
        </w:rPr>
        <w:t>imago Dei</w:t>
      </w:r>
      <w:r>
        <w:rPr>
          <w:u w:val="single"/>
        </w:rPr>
        <w:t xml:space="preserve">; Gen 22.1–19: </w:t>
      </w:r>
      <w:r>
        <w:rPr>
          <w:i/>
          <w:u w:val="single"/>
        </w:rPr>
        <w:t>sacrifice of Isaac</w:t>
      </w:r>
      <w:r>
        <w:rPr>
          <w:u w:val="single"/>
        </w:rPr>
        <w:t xml:space="preserve">; Matt 4.1–11: </w:t>
      </w:r>
      <w:r>
        <w:rPr>
          <w:i/>
          <w:u w:val="single"/>
        </w:rPr>
        <w:t>temptation of Jesus</w:t>
      </w:r>
      <w:r>
        <w:rPr>
          <w:u w:val="single"/>
        </w:rPr>
        <w:t xml:space="preserve">; Rom 5.12–21: </w:t>
      </w:r>
      <w:r>
        <w:rPr>
          <w:i/>
          <w:u w:val="single"/>
        </w:rPr>
        <w:t>Adam and Christ</w:t>
      </w:r>
      <w:r>
        <w:rPr>
          <w:u w:val="single"/>
        </w:rPr>
        <w:t>, etc.) we encourage you to open a box (ca. 500–700 words) where you will be able to synthetize the main points of patristic interpretations on that biblical theological theme.</w:t>
      </w:r>
      <w:r>
        <w:rPr/>
        <w:t xml:space="preserve"> See Amy-Jill Levine, Marc Zvi Brettler, eds., </w:t>
      </w:r>
      <w:r>
        <w:rPr>
          <w:i/>
        </w:rPr>
        <w:t xml:space="preserve">The Jewish Annotated New Testament </w:t>
      </w:r>
      <w:r>
        <w:rPr/>
        <w:t>(2</w:t>
      </w:r>
      <w:r>
        <w:rPr>
          <w:vertAlign w:val="superscript"/>
        </w:rPr>
        <w:t>nd</w:t>
      </w:r>
      <w:r>
        <w:rPr/>
        <w:t xml:space="preserve"> edition; Oxford University Press, 2017)</w:t>
      </w:r>
      <w:r>
        <w:rPr>
          <w:i/>
        </w:rPr>
        <w:t xml:space="preserve"> </w:t>
      </w:r>
      <w:r>
        <w:rPr/>
        <w:t xml:space="preserve">as an example of explicative annotations and </w:t>
      </w:r>
      <w:r>
        <w:rPr>
          <w:i/>
        </w:rPr>
        <w:t>greyed boxes</w:t>
      </w:r>
      <w:r>
        <w:rPr/>
        <w:t xml:space="preserve">. </w:t>
      </w:r>
      <w:r>
        <w:rPr>
          <w:u w:val="single"/>
        </w:rPr>
        <w:t>If you make use of a patristic box, please place the text at the end of all annotations on that pericope.</w:t>
      </w:r>
      <w:r>
        <w:rPr/>
        <w:t xml:space="preserve"> You should create a heading for the box, as for instance: </w:t>
      </w:r>
      <w:r>
        <w:rPr>
          <w:b/>
        </w:rPr>
        <w:t xml:space="preserve">Gen 22.1–19: Sacrifice of Isaac (Box). </w:t>
      </w:r>
      <w:r>
        <w:rPr/>
        <w:t>Please bring this to your editor’s attention.</w:t>
      </w:r>
      <w:r>
        <w:rPr>
          <w:b/>
        </w:rPr>
        <w:t xml:space="preserve"> </w:t>
      </w:r>
    </w:p>
    <w:p>
      <w:pPr>
        <w:pStyle w:val="Normal"/>
        <w:spacing w:lineRule="auto" w:line="480"/>
        <w:rPr>
          <w:b/>
        </w:rPr>
      </w:pPr>
      <w:r>
        <w:rPr>
          <w:b/>
        </w:rPr>
      </w:r>
    </w:p>
    <w:p>
      <w:pPr>
        <w:pStyle w:val="Normal"/>
        <w:spacing w:lineRule="auto" w:line="480"/>
        <w:rPr>
          <w:b/>
          <w:i/>
        </w:rPr>
      </w:pPr>
      <w:r>
        <w:rPr>
          <w:b/>
          <w:i/>
        </w:rPr>
        <w:t xml:space="preserve">Format of Annotations </w:t>
      </w:r>
    </w:p>
    <w:p>
      <w:pPr>
        <w:pStyle w:val="Normal"/>
        <w:spacing w:lineRule="auto" w:line="480"/>
        <w:rPr>
          <w:b/>
          <w:i/>
        </w:rPr>
      </w:pPr>
      <w:r>
        <w:rPr/>
        <w:t>The format of annotations is as follows:</w:t>
      </w:r>
    </w:p>
    <w:p>
      <w:pPr>
        <w:pStyle w:val="ListParagraph"/>
        <w:numPr>
          <w:ilvl w:val="0"/>
          <w:numId w:val="4"/>
        </w:numPr>
        <w:spacing w:lineRule="auto" w:line="480"/>
        <w:rPr>
          <w:b/>
          <w:i/>
        </w:rPr>
      </w:pPr>
      <w:r>
        <w:rPr/>
        <w:t>A boldface range of verses is followed by a general boldface heading describing the particular passage. The outline of the book in the introduction should be incorporated within these boldface headings. We encourage you to follow as much as possible the division of pericopes proposed by NOAB5, but the wording of the headings can be either NOAB5’s or yours.</w:t>
      </w:r>
    </w:p>
    <w:p>
      <w:pPr>
        <w:pStyle w:val="ListParagraph"/>
        <w:numPr>
          <w:ilvl w:val="0"/>
          <w:numId w:val="4"/>
        </w:numPr>
        <w:spacing w:lineRule="auto" w:line="480"/>
        <w:rPr>
          <w:b/>
          <w:i/>
        </w:rPr>
      </w:pPr>
      <w:r>
        <w:rPr/>
        <w:t>Within the notes under the heading, individual verse numbers are in boldface type. Following the verse(s) are comments: their background, meaning, particular words, phrases, proper names, etc. The targeted word/phrase from the biblical text should be in italics (see above, beneath “exegetical annotations”).</w:t>
      </w:r>
    </w:p>
    <w:p>
      <w:pPr>
        <w:pStyle w:val="Normal"/>
        <w:spacing w:lineRule="auto" w:line="480"/>
        <w:rPr/>
      </w:pPr>
      <w:r>
        <w:rPr/>
        <w:t>Please keep in mind:</w:t>
      </w:r>
    </w:p>
    <w:p>
      <w:pPr>
        <w:pStyle w:val="Normal"/>
        <w:numPr>
          <w:ilvl w:val="0"/>
          <w:numId w:val="3"/>
        </w:numPr>
        <w:spacing w:lineRule="auto" w:line="480"/>
        <w:rPr/>
      </w:pPr>
      <w:r>
        <w:rPr/>
        <w:t>Not all verses require annotations.</w:t>
      </w:r>
    </w:p>
    <w:p>
      <w:pPr>
        <w:pStyle w:val="Normal"/>
        <w:numPr>
          <w:ilvl w:val="0"/>
          <w:numId w:val="3"/>
        </w:numPr>
        <w:spacing w:lineRule="auto" w:line="480"/>
        <w:rPr/>
      </w:pPr>
      <w:r>
        <w:rPr/>
        <w:t>Paraphrasing the biblical pericope is unnecessary.</w:t>
      </w:r>
    </w:p>
    <w:p>
      <w:pPr>
        <w:pStyle w:val="Normal"/>
        <w:numPr>
          <w:ilvl w:val="0"/>
          <w:numId w:val="3"/>
        </w:numPr>
        <w:spacing w:lineRule="auto" w:line="480"/>
        <w:rPr/>
      </w:pPr>
      <w:r>
        <w:rPr/>
        <w:t>Verse ranges and boldface headings should run consecutively. They thus provide a running list of the main topics or incidents in the biblical book.</w:t>
      </w:r>
    </w:p>
    <w:p>
      <w:pPr>
        <w:pStyle w:val="Normal"/>
        <w:spacing w:lineRule="auto" w:line="480"/>
        <w:rPr/>
      </w:pPr>
      <w:r>
        <w:rPr/>
      </w:r>
    </w:p>
    <w:p>
      <w:pPr>
        <w:pStyle w:val="Normal"/>
        <w:spacing w:lineRule="auto" w:line="480"/>
        <w:rPr/>
      </w:pPr>
      <w:r>
        <w:rPr>
          <w:b/>
          <w:i/>
        </w:rPr>
        <w:t>Specific points</w:t>
      </w:r>
    </w:p>
    <w:p>
      <w:pPr>
        <w:pStyle w:val="Normal"/>
        <w:spacing w:lineRule="auto" w:line="480"/>
        <w:rPr/>
      </w:pPr>
      <w:r>
        <w:rPr>
          <w:b/>
          <w:i/>
        </w:rPr>
        <w:t xml:space="preserve">Transliteration </w:t>
      </w:r>
    </w:p>
    <w:p>
      <w:pPr>
        <w:pStyle w:val="Normal"/>
        <w:spacing w:lineRule="auto" w:line="480"/>
        <w:rPr/>
      </w:pPr>
      <w:r>
        <w:rPr/>
        <w:t>Simplified transliteration should be used, and its use should be sparing. Diacriticals will be kept to a minimum. Please observe the following conventions: For Hebrew vowels, no distinction is made for short or long vowels. Vocal shewa should be supplied as “e.” For Greek vowels, distinguish between short and long e and o. Rough breathing marks should be supplied as “h.”</w:t>
      </w:r>
    </w:p>
    <w:tbl>
      <w:tblPr>
        <w:tblW w:w="885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735"/>
        <w:gridCol w:w="1533"/>
        <w:gridCol w:w="627"/>
        <w:gridCol w:w="5961"/>
      </w:tblGrid>
      <w:tr>
        <w:trPr/>
        <w:tc>
          <w:tcPr>
            <w:tcW w:w="735" w:type="dxa"/>
            <w:tcBorders/>
            <w:shd w:color="auto" w:fill="auto" w:val="clear"/>
          </w:tcPr>
          <w:p>
            <w:pPr>
              <w:pStyle w:val="Normal"/>
              <w:widowControl w:val="false"/>
              <w:spacing w:lineRule="auto" w:line="480"/>
              <w:rPr>
                <w:sz w:val="32"/>
                <w:szCs w:val="32"/>
              </w:rPr>
            </w:pPr>
            <w:r>
              <w:rPr>
                <w:sz w:val="32"/>
                <w:szCs w:val="32"/>
                <w:rtl w:val="true"/>
              </w:rPr>
              <w:t>א</w:t>
            </w:r>
          </w:p>
        </w:tc>
        <w:tc>
          <w:tcPr>
            <w:tcW w:w="1533" w:type="dxa"/>
            <w:tcBorders/>
            <w:shd w:color="auto" w:fill="auto" w:val="clear"/>
          </w:tcPr>
          <w:p>
            <w:pPr>
              <w:pStyle w:val="Normal"/>
              <w:widowControl w:val="false"/>
              <w:spacing w:lineRule="auto" w:line="480"/>
              <w:rPr/>
            </w:pPr>
            <w:r>
              <w:rPr>
                <w:rtl w:val="true"/>
                <w:lang w:bidi="he-IL"/>
              </w:rPr>
              <w:t>י</w:t>
            </w:r>
          </w:p>
        </w:tc>
        <w:tc>
          <w:tcPr>
            <w:tcW w:w="627" w:type="dxa"/>
            <w:tcBorders/>
            <w:shd w:color="auto" w:fill="auto" w:val="clear"/>
          </w:tcPr>
          <w:p>
            <w:pPr>
              <w:pStyle w:val="Normal"/>
              <w:widowControl w:val="false"/>
              <w:spacing w:lineRule="auto" w:line="480"/>
              <w:rPr>
                <w:lang w:bidi="he-IL"/>
              </w:rPr>
            </w:pPr>
            <w:r>
              <w:rPr>
                <w:lang w:bidi="he-IL"/>
              </w:rPr>
              <w:t>Α</w:t>
            </w:r>
          </w:p>
        </w:tc>
        <w:tc>
          <w:tcPr>
            <w:tcW w:w="5961" w:type="dxa"/>
            <w:tcBorders/>
            <w:shd w:color="auto" w:fill="auto" w:val="clear"/>
          </w:tcPr>
          <w:p>
            <w:pPr>
              <w:pStyle w:val="Normal"/>
              <w:widowControl w:val="false"/>
              <w:spacing w:lineRule="auto" w:line="480"/>
              <w:rPr>
                <w:lang w:bidi="he-IL"/>
              </w:rPr>
            </w:pPr>
            <w:r>
              <w:rPr>
                <w:lang w:bidi="he-IL"/>
              </w:rPr>
              <w:t>a</w:t>
            </w:r>
          </w:p>
        </w:tc>
      </w:tr>
      <w:tr>
        <w:trPr/>
        <w:tc>
          <w:tcPr>
            <w:tcW w:w="735" w:type="dxa"/>
            <w:tcBorders/>
            <w:shd w:color="auto" w:fill="auto" w:val="clear"/>
          </w:tcPr>
          <w:p>
            <w:pPr>
              <w:pStyle w:val="Normal"/>
              <w:widowControl w:val="false"/>
              <w:spacing w:lineRule="auto" w:line="480"/>
              <w:rPr>
                <w:sz w:val="32"/>
                <w:szCs w:val="32"/>
              </w:rPr>
            </w:pPr>
            <w:r>
              <w:rPr>
                <w:sz w:val="32"/>
                <w:szCs w:val="32"/>
                <w:rtl w:val="true"/>
                <w:lang w:bidi="he-IL"/>
              </w:rPr>
              <w:t>בּ</w:t>
            </w:r>
          </w:p>
        </w:tc>
        <w:tc>
          <w:tcPr>
            <w:tcW w:w="1533" w:type="dxa"/>
            <w:tcBorders/>
            <w:shd w:color="auto" w:fill="auto" w:val="clear"/>
          </w:tcPr>
          <w:p>
            <w:pPr>
              <w:pStyle w:val="Normal"/>
              <w:widowControl w:val="false"/>
              <w:spacing w:lineRule="auto" w:line="480"/>
              <w:rPr/>
            </w:pPr>
            <w:r>
              <w:rPr/>
              <w:t>b</w:t>
            </w:r>
          </w:p>
        </w:tc>
        <w:tc>
          <w:tcPr>
            <w:tcW w:w="627" w:type="dxa"/>
            <w:tcBorders/>
            <w:shd w:color="auto" w:fill="auto" w:val="clear"/>
          </w:tcPr>
          <w:p>
            <w:pPr>
              <w:pStyle w:val="Normal"/>
              <w:widowControl w:val="false"/>
              <w:spacing w:lineRule="auto" w:line="480"/>
              <w:rPr/>
            </w:pPr>
            <w:r>
              <w:rPr/>
              <w:t>Β</w:t>
            </w:r>
          </w:p>
        </w:tc>
        <w:tc>
          <w:tcPr>
            <w:tcW w:w="5961" w:type="dxa"/>
            <w:tcBorders/>
            <w:shd w:color="auto" w:fill="auto" w:val="clear"/>
          </w:tcPr>
          <w:p>
            <w:pPr>
              <w:pStyle w:val="Normal"/>
              <w:widowControl w:val="false"/>
              <w:spacing w:lineRule="auto" w:line="480"/>
              <w:rPr/>
            </w:pPr>
            <w:r>
              <w:rPr/>
              <w:t>b</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ב</w:t>
            </w:r>
          </w:p>
        </w:tc>
        <w:tc>
          <w:tcPr>
            <w:tcW w:w="1533" w:type="dxa"/>
            <w:tcBorders/>
            <w:shd w:color="auto" w:fill="auto" w:val="clear"/>
          </w:tcPr>
          <w:p>
            <w:pPr>
              <w:pStyle w:val="Normal"/>
              <w:widowControl w:val="false"/>
              <w:spacing w:lineRule="auto" w:line="480"/>
              <w:rPr/>
            </w:pPr>
            <w:r>
              <w:rPr/>
              <w:t>v</w:t>
            </w:r>
          </w:p>
        </w:tc>
        <w:tc>
          <w:tcPr>
            <w:tcW w:w="627" w:type="dxa"/>
            <w:tcBorders/>
            <w:shd w:color="auto" w:fill="auto" w:val="clear"/>
          </w:tcPr>
          <w:p>
            <w:pPr>
              <w:pStyle w:val="Normal"/>
              <w:widowControl w:val="false"/>
              <w:spacing w:lineRule="auto" w:line="480"/>
              <w:rPr/>
            </w:pPr>
            <w:r>
              <w:rPr/>
              <w:t>Γ</w:t>
            </w:r>
          </w:p>
        </w:tc>
        <w:tc>
          <w:tcPr>
            <w:tcW w:w="5961" w:type="dxa"/>
            <w:tcBorders/>
            <w:shd w:color="auto" w:fill="auto" w:val="clear"/>
          </w:tcPr>
          <w:p>
            <w:pPr>
              <w:pStyle w:val="Normal"/>
              <w:widowControl w:val="false"/>
              <w:spacing w:lineRule="auto" w:line="480"/>
              <w:rPr/>
            </w:pPr>
            <w:r>
              <w:rPr/>
              <w:t>g</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ג</w:t>
            </w:r>
          </w:p>
        </w:tc>
        <w:tc>
          <w:tcPr>
            <w:tcW w:w="1533" w:type="dxa"/>
            <w:tcBorders/>
            <w:shd w:color="auto" w:fill="auto" w:val="clear"/>
          </w:tcPr>
          <w:p>
            <w:pPr>
              <w:pStyle w:val="Normal"/>
              <w:widowControl w:val="false"/>
              <w:spacing w:lineRule="auto" w:line="480"/>
              <w:rPr/>
            </w:pPr>
            <w:r>
              <w:rPr/>
              <w:t>g</w:t>
            </w:r>
          </w:p>
        </w:tc>
        <w:tc>
          <w:tcPr>
            <w:tcW w:w="627" w:type="dxa"/>
            <w:tcBorders/>
            <w:shd w:color="auto" w:fill="auto" w:val="clear"/>
          </w:tcPr>
          <w:p>
            <w:pPr>
              <w:pStyle w:val="Normal"/>
              <w:widowControl w:val="false"/>
              <w:spacing w:lineRule="auto" w:line="480"/>
              <w:rPr/>
            </w:pPr>
            <w:r>
              <w:rPr/>
              <w:t>Γγ</w:t>
            </w:r>
          </w:p>
        </w:tc>
        <w:tc>
          <w:tcPr>
            <w:tcW w:w="5961" w:type="dxa"/>
            <w:tcBorders/>
            <w:shd w:color="auto" w:fill="auto" w:val="clear"/>
          </w:tcPr>
          <w:p>
            <w:pPr>
              <w:pStyle w:val="Normal"/>
              <w:widowControl w:val="false"/>
              <w:spacing w:lineRule="auto" w:line="480"/>
              <w:rPr/>
            </w:pPr>
            <w:r>
              <w:rPr/>
              <w:t>ng</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ד</w:t>
            </w:r>
          </w:p>
        </w:tc>
        <w:tc>
          <w:tcPr>
            <w:tcW w:w="1533" w:type="dxa"/>
            <w:tcBorders/>
            <w:shd w:color="auto" w:fill="auto" w:val="clear"/>
          </w:tcPr>
          <w:p>
            <w:pPr>
              <w:pStyle w:val="Normal"/>
              <w:widowControl w:val="false"/>
              <w:spacing w:lineRule="auto" w:line="480"/>
              <w:rPr/>
            </w:pPr>
            <w:r>
              <w:rPr/>
              <w:t>d</w:t>
            </w:r>
          </w:p>
        </w:tc>
        <w:tc>
          <w:tcPr>
            <w:tcW w:w="627" w:type="dxa"/>
            <w:tcBorders/>
            <w:shd w:color="auto" w:fill="auto" w:val="clear"/>
          </w:tcPr>
          <w:p>
            <w:pPr>
              <w:pStyle w:val="Normal"/>
              <w:widowControl w:val="false"/>
              <w:spacing w:lineRule="auto" w:line="480"/>
              <w:rPr/>
            </w:pPr>
            <w:r>
              <w:rPr/>
              <w:t>Δ</w:t>
            </w:r>
          </w:p>
        </w:tc>
        <w:tc>
          <w:tcPr>
            <w:tcW w:w="5961" w:type="dxa"/>
            <w:tcBorders/>
            <w:shd w:color="auto" w:fill="auto" w:val="clear"/>
          </w:tcPr>
          <w:p>
            <w:pPr>
              <w:pStyle w:val="Normal"/>
              <w:widowControl w:val="false"/>
              <w:spacing w:lineRule="auto" w:line="480"/>
              <w:rPr/>
            </w:pPr>
            <w:r>
              <w:rPr/>
              <w:t>d</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ה</w:t>
            </w:r>
          </w:p>
        </w:tc>
        <w:tc>
          <w:tcPr>
            <w:tcW w:w="1533" w:type="dxa"/>
            <w:tcBorders/>
            <w:shd w:color="auto" w:fill="auto" w:val="clear"/>
          </w:tcPr>
          <w:p>
            <w:pPr>
              <w:pStyle w:val="Normal"/>
              <w:widowControl w:val="false"/>
              <w:spacing w:lineRule="auto" w:line="480"/>
              <w:rPr/>
            </w:pPr>
            <w:r>
              <w:rPr/>
              <w:t>h</w:t>
            </w:r>
          </w:p>
        </w:tc>
        <w:tc>
          <w:tcPr>
            <w:tcW w:w="627" w:type="dxa"/>
            <w:tcBorders/>
            <w:shd w:color="auto" w:fill="auto" w:val="clear"/>
          </w:tcPr>
          <w:p>
            <w:pPr>
              <w:pStyle w:val="Normal"/>
              <w:widowControl w:val="false"/>
              <w:spacing w:lineRule="auto" w:line="480"/>
              <w:rPr/>
            </w:pPr>
            <w:r>
              <w:rPr/>
              <w:t>Ε</w:t>
            </w:r>
          </w:p>
        </w:tc>
        <w:tc>
          <w:tcPr>
            <w:tcW w:w="5961" w:type="dxa"/>
            <w:tcBorders/>
            <w:shd w:color="auto" w:fill="auto" w:val="clear"/>
          </w:tcPr>
          <w:p>
            <w:pPr>
              <w:pStyle w:val="Normal"/>
              <w:widowControl w:val="false"/>
              <w:spacing w:lineRule="auto" w:line="480"/>
              <w:rPr/>
            </w:pPr>
            <w:r>
              <w:rPr/>
              <w:t>E</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ו</w:t>
            </w:r>
          </w:p>
        </w:tc>
        <w:tc>
          <w:tcPr>
            <w:tcW w:w="1533" w:type="dxa"/>
            <w:tcBorders/>
            <w:shd w:color="auto" w:fill="auto" w:val="clear"/>
          </w:tcPr>
          <w:p>
            <w:pPr>
              <w:pStyle w:val="Normal"/>
              <w:widowControl w:val="false"/>
              <w:spacing w:lineRule="auto" w:line="480"/>
              <w:rPr/>
            </w:pPr>
            <w:r>
              <w:rPr/>
              <w:t>w</w:t>
            </w:r>
          </w:p>
        </w:tc>
        <w:tc>
          <w:tcPr>
            <w:tcW w:w="627" w:type="dxa"/>
            <w:tcBorders/>
            <w:shd w:color="auto" w:fill="auto" w:val="clear"/>
          </w:tcPr>
          <w:p>
            <w:pPr>
              <w:pStyle w:val="Normal"/>
              <w:widowControl w:val="false"/>
              <w:spacing w:lineRule="auto" w:line="480"/>
              <w:rPr/>
            </w:pPr>
            <w:r>
              <w:rPr/>
              <w:t>Ζ</w:t>
            </w:r>
          </w:p>
        </w:tc>
        <w:tc>
          <w:tcPr>
            <w:tcW w:w="5961" w:type="dxa"/>
            <w:tcBorders/>
            <w:shd w:color="auto" w:fill="auto" w:val="clear"/>
          </w:tcPr>
          <w:p>
            <w:pPr>
              <w:pStyle w:val="Normal"/>
              <w:widowControl w:val="false"/>
              <w:spacing w:lineRule="auto" w:line="480"/>
              <w:rPr/>
            </w:pPr>
            <w:r>
              <w:rPr/>
              <w:t>Z</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ז</w:t>
            </w:r>
          </w:p>
        </w:tc>
        <w:tc>
          <w:tcPr>
            <w:tcW w:w="1533" w:type="dxa"/>
            <w:tcBorders/>
            <w:shd w:color="auto" w:fill="auto" w:val="clear"/>
          </w:tcPr>
          <w:p>
            <w:pPr>
              <w:pStyle w:val="Normal"/>
              <w:widowControl w:val="false"/>
              <w:spacing w:lineRule="auto" w:line="480"/>
              <w:rPr/>
            </w:pPr>
            <w:r>
              <w:rPr/>
              <w:t>z</w:t>
            </w:r>
          </w:p>
        </w:tc>
        <w:tc>
          <w:tcPr>
            <w:tcW w:w="627" w:type="dxa"/>
            <w:tcBorders/>
            <w:shd w:color="auto" w:fill="auto" w:val="clear"/>
          </w:tcPr>
          <w:p>
            <w:pPr>
              <w:pStyle w:val="Normal"/>
              <w:widowControl w:val="false"/>
              <w:spacing w:lineRule="auto" w:line="480"/>
              <w:rPr/>
            </w:pPr>
            <w:r>
              <w:rPr/>
              <w:t>Η</w:t>
            </w:r>
          </w:p>
        </w:tc>
        <w:tc>
          <w:tcPr>
            <w:tcW w:w="5961" w:type="dxa"/>
            <w:tcBorders/>
            <w:shd w:color="auto" w:fill="auto" w:val="clear"/>
          </w:tcPr>
          <w:p>
            <w:pPr>
              <w:pStyle w:val="Normal"/>
              <w:widowControl w:val="false"/>
              <w:spacing w:lineRule="auto" w:line="480"/>
              <w:rPr/>
            </w:pPr>
            <w:r>
              <w:rPr/>
              <w:t>Ē</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ח</w:t>
            </w:r>
          </w:p>
        </w:tc>
        <w:tc>
          <w:tcPr>
            <w:tcW w:w="1533" w:type="dxa"/>
            <w:tcBorders/>
            <w:shd w:color="auto" w:fill="auto" w:val="clear"/>
          </w:tcPr>
          <w:p>
            <w:pPr>
              <w:pStyle w:val="Normal"/>
              <w:widowControl w:val="false"/>
              <w:spacing w:lineRule="auto" w:line="480"/>
              <w:rPr/>
            </w:pPr>
            <w:r>
              <w:rPr/>
              <w:t>ḥ</w:t>
            </w:r>
          </w:p>
        </w:tc>
        <w:tc>
          <w:tcPr>
            <w:tcW w:w="627" w:type="dxa"/>
            <w:tcBorders/>
            <w:shd w:color="auto" w:fill="auto" w:val="clear"/>
          </w:tcPr>
          <w:p>
            <w:pPr>
              <w:pStyle w:val="Normal"/>
              <w:widowControl w:val="false"/>
              <w:spacing w:lineRule="auto" w:line="480"/>
              <w:rPr/>
            </w:pPr>
            <w:r>
              <w:rPr/>
              <w:t>Θ</w:t>
            </w:r>
          </w:p>
        </w:tc>
        <w:tc>
          <w:tcPr>
            <w:tcW w:w="5961" w:type="dxa"/>
            <w:tcBorders/>
            <w:shd w:color="auto" w:fill="auto" w:val="clear"/>
          </w:tcPr>
          <w:p>
            <w:pPr>
              <w:pStyle w:val="Normal"/>
              <w:widowControl w:val="false"/>
              <w:spacing w:lineRule="auto" w:line="480"/>
              <w:rPr/>
            </w:pPr>
            <w:r>
              <w:rPr/>
              <w:t>Th</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ט</w:t>
            </w:r>
          </w:p>
        </w:tc>
        <w:tc>
          <w:tcPr>
            <w:tcW w:w="1533" w:type="dxa"/>
            <w:tcBorders/>
            <w:shd w:color="auto" w:fill="auto" w:val="clear"/>
          </w:tcPr>
          <w:p>
            <w:pPr>
              <w:pStyle w:val="Normal"/>
              <w:widowControl w:val="false"/>
              <w:spacing w:lineRule="auto" w:line="480"/>
              <w:rPr/>
            </w:pPr>
            <w:r>
              <w:rPr/>
              <w:t>t</w:t>
            </w:r>
          </w:p>
        </w:tc>
        <w:tc>
          <w:tcPr>
            <w:tcW w:w="627" w:type="dxa"/>
            <w:tcBorders/>
            <w:shd w:color="auto" w:fill="auto" w:val="clear"/>
          </w:tcPr>
          <w:p>
            <w:pPr>
              <w:pStyle w:val="Normal"/>
              <w:widowControl w:val="false"/>
              <w:spacing w:lineRule="auto" w:line="480"/>
              <w:rPr/>
            </w:pPr>
            <w:r>
              <w:rPr/>
              <w:t>Ι</w:t>
            </w:r>
          </w:p>
        </w:tc>
        <w:tc>
          <w:tcPr>
            <w:tcW w:w="5961" w:type="dxa"/>
            <w:tcBorders/>
            <w:shd w:color="auto" w:fill="auto" w:val="clear"/>
          </w:tcPr>
          <w:p>
            <w:pPr>
              <w:pStyle w:val="Normal"/>
              <w:widowControl w:val="false"/>
              <w:spacing w:lineRule="auto" w:line="480"/>
              <w:rPr/>
            </w:pPr>
            <w:r>
              <w:rPr/>
              <w:t>I</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י</w:t>
            </w:r>
          </w:p>
        </w:tc>
        <w:tc>
          <w:tcPr>
            <w:tcW w:w="1533" w:type="dxa"/>
            <w:tcBorders/>
            <w:shd w:color="auto" w:fill="auto" w:val="clear"/>
          </w:tcPr>
          <w:p>
            <w:pPr>
              <w:pStyle w:val="Normal"/>
              <w:widowControl w:val="false"/>
              <w:spacing w:lineRule="auto" w:line="480"/>
              <w:rPr/>
            </w:pPr>
            <w:r>
              <w:rPr/>
              <w:t>y</w:t>
            </w:r>
          </w:p>
        </w:tc>
        <w:tc>
          <w:tcPr>
            <w:tcW w:w="627" w:type="dxa"/>
            <w:tcBorders/>
            <w:shd w:color="auto" w:fill="auto" w:val="clear"/>
          </w:tcPr>
          <w:p>
            <w:pPr>
              <w:pStyle w:val="Normal"/>
              <w:widowControl w:val="false"/>
              <w:spacing w:lineRule="auto" w:line="480"/>
              <w:rPr/>
            </w:pPr>
            <w:r>
              <w:rPr/>
              <w:t>Κ</w:t>
            </w:r>
          </w:p>
        </w:tc>
        <w:tc>
          <w:tcPr>
            <w:tcW w:w="5961" w:type="dxa"/>
            <w:tcBorders/>
            <w:shd w:color="auto" w:fill="auto" w:val="clear"/>
          </w:tcPr>
          <w:p>
            <w:pPr>
              <w:pStyle w:val="Normal"/>
              <w:widowControl w:val="false"/>
              <w:spacing w:lineRule="auto" w:line="480"/>
              <w:rPr/>
            </w:pPr>
            <w:r>
              <w:rPr/>
              <w:t>K</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כ ך</w:t>
            </w:r>
          </w:p>
        </w:tc>
        <w:tc>
          <w:tcPr>
            <w:tcW w:w="1533" w:type="dxa"/>
            <w:tcBorders/>
            <w:shd w:color="auto" w:fill="auto" w:val="clear"/>
          </w:tcPr>
          <w:p>
            <w:pPr>
              <w:pStyle w:val="Normal"/>
              <w:widowControl w:val="false"/>
              <w:spacing w:lineRule="auto" w:line="480"/>
              <w:rPr/>
            </w:pPr>
            <w:r>
              <w:rPr/>
              <w:t>k</w:t>
            </w:r>
          </w:p>
        </w:tc>
        <w:tc>
          <w:tcPr>
            <w:tcW w:w="627" w:type="dxa"/>
            <w:tcBorders/>
            <w:shd w:color="auto" w:fill="auto" w:val="clear"/>
          </w:tcPr>
          <w:p>
            <w:pPr>
              <w:pStyle w:val="Normal"/>
              <w:widowControl w:val="false"/>
              <w:spacing w:lineRule="auto" w:line="480"/>
              <w:rPr/>
            </w:pPr>
            <w:r>
              <w:rPr/>
              <w:t>Λ</w:t>
            </w:r>
          </w:p>
        </w:tc>
        <w:tc>
          <w:tcPr>
            <w:tcW w:w="5961" w:type="dxa"/>
            <w:tcBorders/>
            <w:shd w:color="auto" w:fill="auto" w:val="clear"/>
          </w:tcPr>
          <w:p>
            <w:pPr>
              <w:pStyle w:val="Normal"/>
              <w:widowControl w:val="false"/>
              <w:spacing w:lineRule="auto" w:line="480"/>
              <w:rPr/>
            </w:pPr>
            <w:r>
              <w:rPr/>
              <w:t>L</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ל</w:t>
            </w:r>
          </w:p>
        </w:tc>
        <w:tc>
          <w:tcPr>
            <w:tcW w:w="1533" w:type="dxa"/>
            <w:tcBorders/>
            <w:shd w:color="auto" w:fill="auto" w:val="clear"/>
          </w:tcPr>
          <w:p>
            <w:pPr>
              <w:pStyle w:val="Normal"/>
              <w:widowControl w:val="false"/>
              <w:spacing w:lineRule="auto" w:line="480"/>
              <w:rPr/>
            </w:pPr>
            <w:r>
              <w:rPr/>
              <w:t>l</w:t>
            </w:r>
          </w:p>
        </w:tc>
        <w:tc>
          <w:tcPr>
            <w:tcW w:w="627" w:type="dxa"/>
            <w:tcBorders/>
            <w:shd w:color="auto" w:fill="auto" w:val="clear"/>
          </w:tcPr>
          <w:p>
            <w:pPr>
              <w:pStyle w:val="Normal"/>
              <w:widowControl w:val="false"/>
              <w:spacing w:lineRule="auto" w:line="480"/>
              <w:rPr/>
            </w:pPr>
            <w:r>
              <w:rPr/>
              <w:t>Μ</w:t>
            </w:r>
          </w:p>
        </w:tc>
        <w:tc>
          <w:tcPr>
            <w:tcW w:w="5961" w:type="dxa"/>
            <w:tcBorders/>
            <w:shd w:color="auto" w:fill="auto" w:val="clear"/>
          </w:tcPr>
          <w:p>
            <w:pPr>
              <w:pStyle w:val="Normal"/>
              <w:widowControl w:val="false"/>
              <w:spacing w:lineRule="auto" w:line="480"/>
              <w:rPr/>
            </w:pPr>
            <w:r>
              <w:rPr/>
              <w:t>M</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מ ם</w:t>
            </w:r>
          </w:p>
        </w:tc>
        <w:tc>
          <w:tcPr>
            <w:tcW w:w="1533" w:type="dxa"/>
            <w:tcBorders/>
            <w:shd w:color="auto" w:fill="auto" w:val="clear"/>
          </w:tcPr>
          <w:p>
            <w:pPr>
              <w:pStyle w:val="Normal"/>
              <w:widowControl w:val="false"/>
              <w:spacing w:lineRule="auto" w:line="480"/>
              <w:rPr/>
            </w:pPr>
            <w:r>
              <w:rPr/>
              <w:t>m</w:t>
            </w:r>
          </w:p>
        </w:tc>
        <w:tc>
          <w:tcPr>
            <w:tcW w:w="627" w:type="dxa"/>
            <w:tcBorders/>
            <w:shd w:color="auto" w:fill="auto" w:val="clear"/>
          </w:tcPr>
          <w:p>
            <w:pPr>
              <w:pStyle w:val="Normal"/>
              <w:widowControl w:val="false"/>
              <w:spacing w:lineRule="auto" w:line="480"/>
              <w:rPr/>
            </w:pPr>
            <w:r>
              <w:rPr/>
              <w:t>Ν</w:t>
            </w:r>
          </w:p>
        </w:tc>
        <w:tc>
          <w:tcPr>
            <w:tcW w:w="5961" w:type="dxa"/>
            <w:tcBorders/>
            <w:shd w:color="auto" w:fill="auto" w:val="clear"/>
          </w:tcPr>
          <w:p>
            <w:pPr>
              <w:pStyle w:val="Normal"/>
              <w:widowControl w:val="false"/>
              <w:spacing w:lineRule="auto" w:line="480"/>
              <w:rPr/>
            </w:pPr>
            <w:r>
              <w:rPr/>
              <w:t>N</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נ ן</w:t>
            </w:r>
          </w:p>
        </w:tc>
        <w:tc>
          <w:tcPr>
            <w:tcW w:w="1533" w:type="dxa"/>
            <w:tcBorders/>
            <w:shd w:color="auto" w:fill="auto" w:val="clear"/>
          </w:tcPr>
          <w:p>
            <w:pPr>
              <w:pStyle w:val="Normal"/>
              <w:widowControl w:val="false"/>
              <w:spacing w:lineRule="auto" w:line="480"/>
              <w:rPr/>
            </w:pPr>
            <w:r>
              <w:rPr/>
              <w:t>n</w:t>
            </w:r>
          </w:p>
        </w:tc>
        <w:tc>
          <w:tcPr>
            <w:tcW w:w="627" w:type="dxa"/>
            <w:tcBorders/>
            <w:shd w:color="auto" w:fill="auto" w:val="clear"/>
          </w:tcPr>
          <w:p>
            <w:pPr>
              <w:pStyle w:val="Normal"/>
              <w:widowControl w:val="false"/>
              <w:spacing w:lineRule="auto" w:line="480"/>
              <w:rPr/>
            </w:pPr>
            <w:r>
              <w:rPr/>
              <w:t>Ξ</w:t>
            </w:r>
          </w:p>
        </w:tc>
        <w:tc>
          <w:tcPr>
            <w:tcW w:w="5961" w:type="dxa"/>
            <w:tcBorders/>
            <w:shd w:color="auto" w:fill="auto" w:val="clear"/>
          </w:tcPr>
          <w:p>
            <w:pPr>
              <w:pStyle w:val="Normal"/>
              <w:widowControl w:val="false"/>
              <w:spacing w:lineRule="auto" w:line="480"/>
              <w:rPr/>
            </w:pPr>
            <w:r>
              <w:rPr/>
              <w:t>X</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ס</w:t>
            </w:r>
          </w:p>
        </w:tc>
        <w:tc>
          <w:tcPr>
            <w:tcW w:w="1533" w:type="dxa"/>
            <w:tcBorders/>
            <w:shd w:color="auto" w:fill="auto" w:val="clear"/>
          </w:tcPr>
          <w:p>
            <w:pPr>
              <w:pStyle w:val="Normal"/>
              <w:widowControl w:val="false"/>
              <w:spacing w:lineRule="auto" w:line="480"/>
              <w:rPr/>
            </w:pPr>
            <w:r>
              <w:rPr/>
              <w:t>s</w:t>
            </w:r>
          </w:p>
        </w:tc>
        <w:tc>
          <w:tcPr>
            <w:tcW w:w="627" w:type="dxa"/>
            <w:tcBorders/>
            <w:shd w:color="auto" w:fill="auto" w:val="clear"/>
          </w:tcPr>
          <w:p>
            <w:pPr>
              <w:pStyle w:val="Normal"/>
              <w:widowControl w:val="false"/>
              <w:spacing w:lineRule="auto" w:line="480"/>
              <w:rPr/>
            </w:pPr>
            <w:r>
              <w:rPr/>
              <w:t>Ο</w:t>
            </w:r>
          </w:p>
        </w:tc>
        <w:tc>
          <w:tcPr>
            <w:tcW w:w="5961" w:type="dxa"/>
            <w:tcBorders/>
            <w:shd w:color="auto" w:fill="auto" w:val="clear"/>
          </w:tcPr>
          <w:p>
            <w:pPr>
              <w:pStyle w:val="Normal"/>
              <w:widowControl w:val="false"/>
              <w:spacing w:lineRule="auto" w:line="480"/>
              <w:rPr/>
            </w:pPr>
            <w:r>
              <w:rPr/>
              <w:t>O</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ע</w:t>
            </w:r>
          </w:p>
        </w:tc>
        <w:tc>
          <w:tcPr>
            <w:tcW w:w="1533" w:type="dxa"/>
            <w:tcBorders/>
            <w:shd w:color="auto" w:fill="auto" w:val="clear"/>
          </w:tcPr>
          <w:p>
            <w:pPr>
              <w:pStyle w:val="Normal"/>
              <w:widowControl w:val="false"/>
              <w:spacing w:lineRule="auto" w:line="480"/>
              <w:rPr>
                <w:sz w:val="32"/>
                <w:szCs w:val="32"/>
              </w:rPr>
            </w:pPr>
            <w:r>
              <w:rPr>
                <w:sz w:val="32"/>
                <w:szCs w:val="32"/>
              </w:rPr>
              <w:t>ʻ</w:t>
            </w:r>
          </w:p>
        </w:tc>
        <w:tc>
          <w:tcPr>
            <w:tcW w:w="627" w:type="dxa"/>
            <w:tcBorders/>
            <w:shd w:color="auto" w:fill="auto" w:val="clear"/>
          </w:tcPr>
          <w:p>
            <w:pPr>
              <w:pStyle w:val="Normal"/>
              <w:widowControl w:val="false"/>
              <w:spacing w:lineRule="auto" w:line="480"/>
              <w:rPr/>
            </w:pPr>
            <w:r>
              <w:rPr/>
              <w:t>Π</w:t>
            </w:r>
          </w:p>
        </w:tc>
        <w:tc>
          <w:tcPr>
            <w:tcW w:w="5961" w:type="dxa"/>
            <w:tcBorders/>
            <w:shd w:color="auto" w:fill="auto" w:val="clear"/>
          </w:tcPr>
          <w:p>
            <w:pPr>
              <w:pStyle w:val="Normal"/>
              <w:widowControl w:val="false"/>
              <w:spacing w:lineRule="auto" w:line="480"/>
              <w:rPr/>
            </w:pPr>
            <w:r>
              <w:rPr/>
              <w:t>P</w:t>
            </w:r>
          </w:p>
        </w:tc>
      </w:tr>
      <w:tr>
        <w:trPr/>
        <w:tc>
          <w:tcPr>
            <w:tcW w:w="735" w:type="dxa"/>
            <w:tcBorders/>
            <w:shd w:color="auto" w:fill="auto" w:val="clear"/>
          </w:tcPr>
          <w:p>
            <w:pPr>
              <w:pStyle w:val="Normal"/>
              <w:widowControl w:val="false"/>
              <w:spacing w:lineRule="auto" w:line="480"/>
              <w:rPr>
                <w:sz w:val="32"/>
                <w:szCs w:val="32"/>
              </w:rPr>
            </w:pPr>
            <w:r>
              <w:rPr>
                <w:sz w:val="32"/>
                <w:szCs w:val="32"/>
                <w:rtl w:val="true"/>
                <w:lang w:bidi="he-IL"/>
              </w:rPr>
              <w:t>פּ</w:t>
            </w:r>
          </w:p>
        </w:tc>
        <w:tc>
          <w:tcPr>
            <w:tcW w:w="1533" w:type="dxa"/>
            <w:tcBorders/>
            <w:shd w:color="auto" w:fill="auto" w:val="clear"/>
          </w:tcPr>
          <w:p>
            <w:pPr>
              <w:pStyle w:val="Normal"/>
              <w:widowControl w:val="false"/>
              <w:spacing w:lineRule="auto" w:line="480"/>
              <w:rPr/>
            </w:pPr>
            <w:r>
              <w:rPr/>
              <w:t>p</w:t>
            </w:r>
          </w:p>
        </w:tc>
        <w:tc>
          <w:tcPr>
            <w:tcW w:w="627" w:type="dxa"/>
            <w:tcBorders/>
            <w:shd w:color="auto" w:fill="auto" w:val="clear"/>
          </w:tcPr>
          <w:p>
            <w:pPr>
              <w:pStyle w:val="Normal"/>
              <w:widowControl w:val="false"/>
              <w:spacing w:lineRule="auto" w:line="480"/>
              <w:rPr/>
            </w:pPr>
            <w:r>
              <w:rPr/>
              <w:t>Ρ</w:t>
            </w:r>
          </w:p>
        </w:tc>
        <w:tc>
          <w:tcPr>
            <w:tcW w:w="5961" w:type="dxa"/>
            <w:tcBorders/>
            <w:shd w:color="auto" w:fill="auto" w:val="clear"/>
          </w:tcPr>
          <w:p>
            <w:pPr>
              <w:pStyle w:val="Normal"/>
              <w:widowControl w:val="false"/>
              <w:spacing w:lineRule="auto" w:line="480"/>
              <w:rPr/>
            </w:pPr>
            <w:r>
              <w:rPr/>
              <w:t>r, rh</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פ ף</w:t>
            </w:r>
          </w:p>
        </w:tc>
        <w:tc>
          <w:tcPr>
            <w:tcW w:w="1533" w:type="dxa"/>
            <w:tcBorders/>
            <w:shd w:color="auto" w:fill="auto" w:val="clear"/>
          </w:tcPr>
          <w:p>
            <w:pPr>
              <w:pStyle w:val="Normal"/>
              <w:widowControl w:val="false"/>
              <w:spacing w:lineRule="auto" w:line="480"/>
              <w:rPr/>
            </w:pPr>
            <w:r>
              <w:rPr/>
              <w:t>ph</w:t>
            </w:r>
          </w:p>
        </w:tc>
        <w:tc>
          <w:tcPr>
            <w:tcW w:w="627" w:type="dxa"/>
            <w:tcBorders/>
            <w:shd w:color="auto" w:fill="auto" w:val="clear"/>
          </w:tcPr>
          <w:p>
            <w:pPr>
              <w:pStyle w:val="Normal"/>
              <w:widowControl w:val="false"/>
              <w:spacing w:lineRule="auto" w:line="480"/>
              <w:rPr/>
            </w:pPr>
            <w:r>
              <w:rPr/>
              <w:t>σ ς</w:t>
            </w:r>
          </w:p>
        </w:tc>
        <w:tc>
          <w:tcPr>
            <w:tcW w:w="5961" w:type="dxa"/>
            <w:tcBorders/>
            <w:shd w:color="auto" w:fill="auto" w:val="clear"/>
          </w:tcPr>
          <w:p>
            <w:pPr>
              <w:pStyle w:val="Normal"/>
              <w:widowControl w:val="false"/>
              <w:spacing w:lineRule="auto" w:line="480"/>
              <w:rPr/>
            </w:pPr>
            <w:r>
              <w:rPr/>
              <w:t>S</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צ ץ</w:t>
            </w:r>
          </w:p>
        </w:tc>
        <w:tc>
          <w:tcPr>
            <w:tcW w:w="1533" w:type="dxa"/>
            <w:tcBorders/>
            <w:shd w:color="auto" w:fill="auto" w:val="clear"/>
          </w:tcPr>
          <w:p>
            <w:pPr>
              <w:pStyle w:val="Normal"/>
              <w:widowControl w:val="false"/>
              <w:spacing w:lineRule="auto" w:line="480"/>
              <w:rPr/>
            </w:pPr>
            <w:r>
              <w:rPr/>
              <w:t>ts</w:t>
            </w:r>
          </w:p>
        </w:tc>
        <w:tc>
          <w:tcPr>
            <w:tcW w:w="627" w:type="dxa"/>
            <w:tcBorders/>
            <w:shd w:color="auto" w:fill="auto" w:val="clear"/>
          </w:tcPr>
          <w:p>
            <w:pPr>
              <w:pStyle w:val="Normal"/>
              <w:widowControl w:val="false"/>
              <w:spacing w:lineRule="auto" w:line="480"/>
              <w:rPr/>
            </w:pPr>
            <w:r>
              <w:rPr/>
              <w:t>Τ</w:t>
            </w:r>
          </w:p>
        </w:tc>
        <w:tc>
          <w:tcPr>
            <w:tcW w:w="5961" w:type="dxa"/>
            <w:tcBorders/>
            <w:shd w:color="auto" w:fill="auto" w:val="clear"/>
          </w:tcPr>
          <w:p>
            <w:pPr>
              <w:pStyle w:val="Normal"/>
              <w:widowControl w:val="false"/>
              <w:spacing w:lineRule="auto" w:line="480"/>
              <w:rPr/>
            </w:pPr>
            <w:r>
              <w:rPr/>
              <w:t>T</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ק</w:t>
            </w:r>
          </w:p>
        </w:tc>
        <w:tc>
          <w:tcPr>
            <w:tcW w:w="1533" w:type="dxa"/>
            <w:tcBorders/>
            <w:shd w:color="auto" w:fill="auto" w:val="clear"/>
          </w:tcPr>
          <w:p>
            <w:pPr>
              <w:pStyle w:val="Normal"/>
              <w:widowControl w:val="false"/>
              <w:spacing w:lineRule="auto" w:line="480"/>
              <w:rPr/>
            </w:pPr>
            <w:r>
              <w:rPr/>
              <w:t>q</w:t>
            </w:r>
          </w:p>
        </w:tc>
        <w:tc>
          <w:tcPr>
            <w:tcW w:w="627" w:type="dxa"/>
            <w:tcBorders/>
            <w:shd w:color="auto" w:fill="auto" w:val="clear"/>
          </w:tcPr>
          <w:p>
            <w:pPr>
              <w:pStyle w:val="Normal"/>
              <w:widowControl w:val="false"/>
              <w:spacing w:lineRule="auto" w:line="480"/>
              <w:rPr/>
            </w:pPr>
            <w:r>
              <w:rPr/>
              <w:t>Υ</w:t>
            </w:r>
          </w:p>
        </w:tc>
        <w:tc>
          <w:tcPr>
            <w:tcW w:w="5961" w:type="dxa"/>
            <w:tcBorders/>
            <w:shd w:color="auto" w:fill="auto" w:val="clear"/>
          </w:tcPr>
          <w:p>
            <w:pPr>
              <w:pStyle w:val="Normal"/>
              <w:widowControl w:val="false"/>
              <w:spacing w:lineRule="auto" w:line="480"/>
              <w:rPr/>
            </w:pPr>
            <w:r>
              <w:rPr/>
              <w:t>y, u (in diphthongs)</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ר</w:t>
            </w:r>
          </w:p>
        </w:tc>
        <w:tc>
          <w:tcPr>
            <w:tcW w:w="1533" w:type="dxa"/>
            <w:tcBorders/>
            <w:shd w:color="auto" w:fill="auto" w:val="clear"/>
          </w:tcPr>
          <w:p>
            <w:pPr>
              <w:pStyle w:val="Normal"/>
              <w:widowControl w:val="false"/>
              <w:spacing w:lineRule="auto" w:line="480"/>
              <w:rPr/>
            </w:pPr>
            <w:r>
              <w:rPr/>
              <w:t>r</w:t>
            </w:r>
          </w:p>
        </w:tc>
        <w:tc>
          <w:tcPr>
            <w:tcW w:w="627" w:type="dxa"/>
            <w:tcBorders/>
            <w:shd w:color="auto" w:fill="auto" w:val="clear"/>
          </w:tcPr>
          <w:p>
            <w:pPr>
              <w:pStyle w:val="Normal"/>
              <w:widowControl w:val="false"/>
              <w:spacing w:lineRule="auto" w:line="480"/>
              <w:rPr/>
            </w:pPr>
            <w:r>
              <w:rPr/>
              <w:t>Φ</w:t>
            </w:r>
          </w:p>
        </w:tc>
        <w:tc>
          <w:tcPr>
            <w:tcW w:w="5961" w:type="dxa"/>
            <w:tcBorders/>
            <w:shd w:color="auto" w:fill="auto" w:val="clear"/>
          </w:tcPr>
          <w:p>
            <w:pPr>
              <w:pStyle w:val="Normal"/>
              <w:widowControl w:val="false"/>
              <w:spacing w:lineRule="auto" w:line="480"/>
              <w:rPr/>
            </w:pPr>
            <w:r>
              <w:rPr/>
              <w:t>Ph</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שׂ</w:t>
            </w:r>
          </w:p>
        </w:tc>
        <w:tc>
          <w:tcPr>
            <w:tcW w:w="1533" w:type="dxa"/>
            <w:tcBorders/>
            <w:shd w:color="auto" w:fill="auto" w:val="clear"/>
          </w:tcPr>
          <w:p>
            <w:pPr>
              <w:pStyle w:val="Normal"/>
              <w:widowControl w:val="false"/>
              <w:spacing w:lineRule="auto" w:line="480"/>
              <w:rPr/>
            </w:pPr>
            <w:r>
              <w:rPr/>
              <w:t>s</w:t>
            </w:r>
          </w:p>
        </w:tc>
        <w:tc>
          <w:tcPr>
            <w:tcW w:w="627" w:type="dxa"/>
            <w:tcBorders/>
            <w:shd w:color="auto" w:fill="auto" w:val="clear"/>
          </w:tcPr>
          <w:p>
            <w:pPr>
              <w:pStyle w:val="Normal"/>
              <w:widowControl w:val="false"/>
              <w:spacing w:lineRule="auto" w:line="480"/>
              <w:rPr/>
            </w:pPr>
            <w:r>
              <w:rPr/>
              <w:t>Χ</w:t>
            </w:r>
          </w:p>
        </w:tc>
        <w:tc>
          <w:tcPr>
            <w:tcW w:w="5961" w:type="dxa"/>
            <w:tcBorders/>
            <w:shd w:color="auto" w:fill="auto" w:val="clear"/>
          </w:tcPr>
          <w:p>
            <w:pPr>
              <w:pStyle w:val="Normal"/>
              <w:widowControl w:val="false"/>
              <w:spacing w:lineRule="auto" w:line="480"/>
              <w:rPr/>
            </w:pPr>
            <w:r>
              <w:rPr/>
              <w:t>Ch</w:t>
            </w:r>
          </w:p>
        </w:tc>
      </w:tr>
      <w:tr>
        <w:trPr/>
        <w:tc>
          <w:tcPr>
            <w:tcW w:w="735" w:type="dxa"/>
            <w:tcBorders/>
            <w:shd w:color="auto" w:fill="auto" w:val="clear"/>
          </w:tcPr>
          <w:p>
            <w:pPr>
              <w:pStyle w:val="Normal"/>
              <w:widowControl w:val="false"/>
              <w:spacing w:lineRule="auto" w:line="480"/>
              <w:rPr>
                <w:sz w:val="32"/>
                <w:szCs w:val="32"/>
              </w:rPr>
            </w:pPr>
            <w:r>
              <w:rPr>
                <w:sz w:val="32"/>
                <w:szCs w:val="32"/>
                <w:rtl w:val="true"/>
              </w:rPr>
              <w:t>שׁ</w:t>
            </w:r>
          </w:p>
        </w:tc>
        <w:tc>
          <w:tcPr>
            <w:tcW w:w="1533" w:type="dxa"/>
            <w:tcBorders/>
            <w:shd w:color="auto" w:fill="auto" w:val="clear"/>
          </w:tcPr>
          <w:p>
            <w:pPr>
              <w:pStyle w:val="Normal"/>
              <w:widowControl w:val="false"/>
              <w:spacing w:lineRule="auto" w:line="480"/>
              <w:rPr/>
            </w:pPr>
            <w:r>
              <w:rPr/>
              <w:t>sh</w:t>
            </w:r>
          </w:p>
        </w:tc>
        <w:tc>
          <w:tcPr>
            <w:tcW w:w="627" w:type="dxa"/>
            <w:tcBorders/>
            <w:shd w:color="auto" w:fill="auto" w:val="clear"/>
          </w:tcPr>
          <w:p>
            <w:pPr>
              <w:pStyle w:val="Normal"/>
              <w:widowControl w:val="false"/>
              <w:spacing w:lineRule="auto" w:line="480"/>
              <w:rPr/>
            </w:pPr>
            <w:r>
              <w:rPr/>
              <w:t>Ψ</w:t>
            </w:r>
          </w:p>
        </w:tc>
        <w:tc>
          <w:tcPr>
            <w:tcW w:w="5961" w:type="dxa"/>
            <w:tcBorders/>
            <w:shd w:color="auto" w:fill="auto" w:val="clear"/>
          </w:tcPr>
          <w:p>
            <w:pPr>
              <w:pStyle w:val="Normal"/>
              <w:widowControl w:val="false"/>
              <w:spacing w:lineRule="auto" w:line="480"/>
              <w:rPr/>
            </w:pPr>
            <w:r>
              <w:rPr/>
              <w:t>Ps</w:t>
            </w:r>
          </w:p>
        </w:tc>
      </w:tr>
      <w:tr>
        <w:trPr/>
        <w:tc>
          <w:tcPr>
            <w:tcW w:w="735" w:type="dxa"/>
            <w:tcBorders/>
            <w:shd w:color="auto" w:fill="auto" w:val="clear"/>
          </w:tcPr>
          <w:p>
            <w:pPr>
              <w:pStyle w:val="Normal"/>
              <w:widowControl w:val="false"/>
              <w:spacing w:lineRule="auto" w:line="480"/>
              <w:rPr>
                <w:sz w:val="32"/>
                <w:szCs w:val="32"/>
              </w:rPr>
            </w:pPr>
            <w:r>
              <w:rPr>
                <w:sz w:val="32"/>
                <w:szCs w:val="32"/>
                <w:rtl w:val="true"/>
                <w:lang w:bidi="he-IL"/>
              </w:rPr>
              <w:t>ת</w:t>
            </w:r>
          </w:p>
        </w:tc>
        <w:tc>
          <w:tcPr>
            <w:tcW w:w="1533" w:type="dxa"/>
            <w:tcBorders/>
            <w:shd w:color="auto" w:fill="auto" w:val="clear"/>
          </w:tcPr>
          <w:p>
            <w:pPr>
              <w:pStyle w:val="Normal"/>
              <w:widowControl w:val="false"/>
              <w:spacing w:lineRule="auto" w:line="480"/>
              <w:rPr/>
            </w:pPr>
            <w:r>
              <w:rPr/>
              <w:t>t</w:t>
            </w:r>
          </w:p>
        </w:tc>
        <w:tc>
          <w:tcPr>
            <w:tcW w:w="627" w:type="dxa"/>
            <w:tcBorders/>
            <w:shd w:color="auto" w:fill="auto" w:val="clear"/>
          </w:tcPr>
          <w:p>
            <w:pPr>
              <w:pStyle w:val="Normal"/>
              <w:widowControl w:val="false"/>
              <w:spacing w:lineRule="auto" w:line="480"/>
              <w:rPr/>
            </w:pPr>
            <w:r>
              <w:rPr/>
              <w:t>Ω</w:t>
            </w:r>
          </w:p>
        </w:tc>
        <w:tc>
          <w:tcPr>
            <w:tcW w:w="5961" w:type="dxa"/>
            <w:tcBorders/>
            <w:shd w:color="auto" w:fill="auto" w:val="clear"/>
          </w:tcPr>
          <w:p>
            <w:pPr>
              <w:pStyle w:val="Normal"/>
              <w:widowControl w:val="false"/>
              <w:spacing w:lineRule="auto" w:line="480"/>
              <w:rPr/>
            </w:pPr>
            <w:r>
              <w:rPr/>
              <w:t>Ō</w:t>
            </w:r>
          </w:p>
        </w:tc>
      </w:tr>
    </w:tbl>
    <w:p>
      <w:pPr>
        <w:pStyle w:val="Normal"/>
        <w:spacing w:lineRule="auto" w:line="480"/>
        <w:rPr>
          <w:highlight w:val="yellow"/>
        </w:rPr>
      </w:pPr>
      <w:r>
        <w:rPr>
          <w:highlight w:val="yellow"/>
        </w:rPr>
      </w:r>
    </w:p>
    <w:p>
      <w:pPr>
        <w:pStyle w:val="Normal"/>
        <w:spacing w:lineRule="auto" w:line="480"/>
        <w:rPr>
          <w:b/>
          <w:i/>
        </w:rPr>
      </w:pPr>
      <w:r>
        <w:rPr>
          <w:b/>
          <w:i/>
        </w:rPr>
        <w:t>Proper Names</w:t>
      </w:r>
    </w:p>
    <w:p>
      <w:pPr>
        <w:pStyle w:val="Normal"/>
        <w:rPr/>
      </w:pPr>
      <w:r>
        <w:rPr/>
        <w:t>Proper names found in the Greek text (e.g., Kain) should be spelled as the KJV does in English form (e.g., Cain). In annotations we are going to use the English spelling for all proper name (including the book name, e.g., Hosea not Osee).</w:t>
      </w:r>
    </w:p>
    <w:p>
      <w:pPr>
        <w:pStyle w:val="Normal"/>
        <w:rPr/>
      </w:pPr>
      <w:r>
        <w:rPr/>
      </w:r>
    </w:p>
    <w:p>
      <w:pPr>
        <w:pStyle w:val="Normal"/>
        <w:rPr/>
      </w:pPr>
      <w:r>
        <w:rPr/>
        <w:t>We are going to give the Greek spelling of the book's name in parentheses after the English spelling, e.g., 1 Samuel (1 Kingdoms).</w:t>
      </w:r>
    </w:p>
    <w:p>
      <w:pPr>
        <w:pStyle w:val="Normal"/>
        <w:rPr/>
      </w:pPr>
      <w:r>
        <w:rPr/>
      </w:r>
    </w:p>
    <w:p>
      <w:pPr>
        <w:pStyle w:val="Normal"/>
        <w:rPr>
          <w:u w:val="single"/>
        </w:rPr>
      </w:pPr>
      <w:r>
        <w:rPr>
          <w:u w:val="single"/>
        </w:rPr>
        <w:t>For proper names within the texts, use the NKJV's spellings. For proper names that do not occur in the NKJV, use the KJV's spellings.</w:t>
      </w:r>
    </w:p>
    <w:p>
      <w:pPr>
        <w:pStyle w:val="Normal"/>
        <w:rPr/>
      </w:pPr>
      <w:r>
        <w:rPr/>
      </w:r>
    </w:p>
    <w:p>
      <w:pPr>
        <w:pStyle w:val="Normal"/>
        <w:spacing w:lineRule="auto" w:line="480"/>
        <w:rPr>
          <w:b/>
          <w:i/>
        </w:rPr>
      </w:pPr>
      <w:r>
        <w:rPr>
          <w:b/>
          <w:i/>
        </w:rPr>
        <w:t>Terminology</w:t>
      </w:r>
    </w:p>
    <w:p>
      <w:pPr>
        <w:pStyle w:val="Normal"/>
        <w:spacing w:lineRule="auto" w:line="480"/>
        <w:rPr/>
      </w:pPr>
      <w:r>
        <w:rPr/>
        <w:t>In order to be consistent, we ask that you use the following terms throughout. These terms will be explained in the editors’ introductory material.</w:t>
      </w:r>
    </w:p>
    <w:p>
      <w:pPr>
        <w:pStyle w:val="Normal"/>
        <w:numPr>
          <w:ilvl w:val="0"/>
          <w:numId w:val="5"/>
        </w:numPr>
        <w:spacing w:lineRule="auto" w:line="480"/>
        <w:ind w:hanging="360" w:start="720"/>
        <w:rPr/>
      </w:pPr>
      <w:r>
        <w:rPr/>
        <w:t>“</w:t>
      </w:r>
      <w:r>
        <w:rPr/>
        <w:t>Old Testament” when discussing Christian canonical order</w:t>
      </w:r>
    </w:p>
    <w:p>
      <w:pPr>
        <w:pStyle w:val="Normal"/>
        <w:numPr>
          <w:ilvl w:val="0"/>
          <w:numId w:val="5"/>
        </w:numPr>
        <w:spacing w:lineRule="auto" w:line="480"/>
        <w:ind w:hanging="360" w:start="720"/>
        <w:rPr/>
      </w:pPr>
      <w:r>
        <w:rPr/>
        <w:t>“</w:t>
      </w:r>
      <w:r>
        <w:rPr/>
        <w:t xml:space="preserve">Tanakh” when discussing Jewish canonical order </w:t>
      </w:r>
    </w:p>
    <w:p>
      <w:pPr>
        <w:pStyle w:val="Normal"/>
        <w:numPr>
          <w:ilvl w:val="0"/>
          <w:numId w:val="5"/>
        </w:numPr>
        <w:spacing w:lineRule="auto" w:line="480"/>
        <w:ind w:hanging="360" w:start="720"/>
        <w:rPr/>
      </w:pPr>
      <w:r>
        <w:rPr/>
        <w:t>“</w:t>
      </w:r>
      <w:r>
        <w:rPr/>
        <w:t>writings of the Second Temple period” instead of inter-Testamental literature</w:t>
      </w:r>
    </w:p>
    <w:p>
      <w:pPr>
        <w:pStyle w:val="Normal"/>
        <w:numPr>
          <w:ilvl w:val="0"/>
          <w:numId w:val="5"/>
        </w:numPr>
        <w:spacing w:lineRule="auto" w:line="480"/>
        <w:ind w:hanging="360" w:start="720"/>
        <w:rPr/>
      </w:pPr>
      <w:r>
        <w:rPr/>
        <w:t>“</w:t>
      </w:r>
      <w:r>
        <w:rPr/>
        <w:t>New Testament” (not “Second Testament” or “Christian Scriptures”) and “Old Testament” (not “Elder Testament”)</w:t>
      </w:r>
    </w:p>
    <w:p>
      <w:pPr>
        <w:pStyle w:val="Normal"/>
        <w:numPr>
          <w:ilvl w:val="0"/>
          <w:numId w:val="5"/>
        </w:numPr>
        <w:spacing w:lineRule="auto" w:line="480"/>
        <w:ind w:hanging="360" w:start="720"/>
        <w:rPr/>
      </w:pPr>
      <w:r>
        <w:rPr/>
        <w:t>“</w:t>
      </w:r>
      <w:r>
        <w:rPr/>
        <w:t>Apocryphal/Deuterocanonical books” (instead of “Old Testament Apocrypha”)</w:t>
      </w:r>
    </w:p>
    <w:p>
      <w:pPr>
        <w:pStyle w:val="Normal"/>
        <w:numPr>
          <w:ilvl w:val="0"/>
          <w:numId w:val="5"/>
        </w:numPr>
        <w:spacing w:lineRule="auto" w:line="480"/>
        <w:ind w:hanging="360" w:start="720"/>
        <w:rPr/>
      </w:pPr>
      <w:r>
        <w:rPr/>
        <w:t>“</w:t>
      </w:r>
      <w:r>
        <w:rPr/>
        <w:t>Pseudepigrapha” for other books not included in the canonical lists of any group (e.g., Jubilees)</w:t>
      </w:r>
    </w:p>
    <w:p>
      <w:pPr>
        <w:pStyle w:val="Normal"/>
        <w:numPr>
          <w:ilvl w:val="0"/>
          <w:numId w:val="5"/>
        </w:numPr>
        <w:spacing w:lineRule="auto" w:line="480"/>
        <w:ind w:hanging="360" w:start="720"/>
        <w:rPr/>
      </w:pPr>
      <w:r>
        <w:rPr/>
        <w:t>“</w:t>
      </w:r>
      <w:r>
        <w:rPr/>
        <w:t>early followers of the Christian movement” (where appropriate, indicate Jewish followers of Jesus; gentile followers of Jesus)</w:t>
      </w:r>
    </w:p>
    <w:p>
      <w:pPr>
        <w:pStyle w:val="Normal"/>
        <w:numPr>
          <w:ilvl w:val="0"/>
          <w:numId w:val="5"/>
        </w:numPr>
        <w:spacing w:lineRule="auto" w:line="480"/>
        <w:ind w:hanging="360" w:start="720"/>
        <w:rPr/>
      </w:pPr>
      <w:r>
        <w:rPr/>
        <w:t>BCE and CE instead of BC and AD</w:t>
      </w:r>
    </w:p>
    <w:p>
      <w:pPr>
        <w:pStyle w:val="Normal"/>
        <w:spacing w:lineRule="auto" w:line="480"/>
        <w:rPr>
          <w:b/>
          <w:i/>
          <w:highlight w:val="yellow"/>
        </w:rPr>
      </w:pPr>
      <w:r>
        <w:rPr>
          <w:b/>
          <w:i/>
          <w:highlight w:val="yellow"/>
        </w:rPr>
      </w:r>
    </w:p>
    <w:p>
      <w:pPr>
        <w:pStyle w:val="Normal"/>
        <w:spacing w:lineRule="auto" w:line="480"/>
        <w:rPr>
          <w:b/>
          <w:i/>
        </w:rPr>
      </w:pPr>
      <w:r>
        <w:rPr>
          <w:b/>
          <w:i/>
        </w:rPr>
        <w:t>Abbreviations</w:t>
      </w:r>
    </w:p>
    <w:p>
      <w:pPr>
        <w:pStyle w:val="Normal"/>
        <w:spacing w:lineRule="auto" w:line="480"/>
        <w:rPr/>
      </w:pPr>
      <w:r>
        <w:rPr/>
        <w:t xml:space="preserve">For biblical references and others, please use the system of abbreviations employed by NOAB5. For those abbreviations that are not found in NOAB5, please use </w:t>
      </w:r>
      <w:r>
        <w:rPr>
          <w:i/>
        </w:rPr>
        <w:t>The SBL Handbook of Style</w:t>
      </w:r>
      <w:r>
        <w:rPr/>
        <w:t xml:space="preserve"> (Society of Biblical Literature; 2</w:t>
      </w:r>
      <w:r>
        <w:rPr>
          <w:vertAlign w:val="superscript"/>
        </w:rPr>
        <w:t>nd</w:t>
      </w:r>
      <w:r>
        <w:rPr/>
        <w:t xml:space="preserve"> edition SBL Press, 2014).</w:t>
      </w:r>
    </w:p>
    <w:p>
      <w:pPr>
        <w:pStyle w:val="Normal"/>
        <w:spacing w:lineRule="auto" w:line="480"/>
        <w:rPr>
          <w:b/>
          <w:i/>
          <w:highlight w:val="yellow"/>
        </w:rPr>
      </w:pPr>
      <w:r>
        <w:rPr>
          <w:b/>
          <w:i/>
          <w:highlight w:val="yellow"/>
        </w:rPr>
      </w:r>
    </w:p>
    <w:p>
      <w:pPr>
        <w:pStyle w:val="Normal"/>
        <w:spacing w:lineRule="auto" w:line="480"/>
        <w:rPr>
          <w:b/>
          <w:i/>
        </w:rPr>
      </w:pPr>
      <w:r>
        <w:rPr>
          <w:b/>
          <w:i/>
        </w:rPr>
        <w:t xml:space="preserve">Glossary </w:t>
      </w:r>
    </w:p>
    <w:p>
      <w:pPr>
        <w:pStyle w:val="Normal"/>
        <w:spacing w:lineRule="auto" w:line="480"/>
        <w:rPr/>
      </w:pPr>
      <w:r>
        <w:rPr/>
        <w:t>Prepare a glossary list pertaining to your annotated book(s).</w:t>
      </w:r>
    </w:p>
    <w:p>
      <w:pPr>
        <w:pStyle w:val="Normal"/>
        <w:spacing w:lineRule="auto" w:line="480"/>
        <w:ind w:firstLine="720"/>
        <w:rPr/>
      </w:pPr>
      <w:r>
        <w:rPr/>
        <w:t xml:space="preserve">Please refer first to the glossary in NOAB5, and flag any terms (especially those referring to patristic authors and works, theological terminology [e.g., synkatabasis, theosis, et.] in your annotations and introductions, that are not included but that should be added to your special (patristic/theological) glossary. </w:t>
      </w:r>
    </w:p>
    <w:p>
      <w:pPr>
        <w:pStyle w:val="Normal"/>
        <w:spacing w:lineRule="auto" w:line="480"/>
        <w:rPr/>
      </w:pPr>
      <w:r>
        <w:rPr/>
      </w:r>
    </w:p>
    <w:p>
      <w:pPr>
        <w:pStyle w:val="Normal"/>
        <w:spacing w:lineRule="auto" w:line="480"/>
        <w:rPr>
          <w:b/>
          <w:i/>
        </w:rPr>
      </w:pPr>
      <w:r>
        <w:rPr>
          <w:b/>
          <w:i/>
        </w:rPr>
        <w:t>Style</w:t>
      </w:r>
    </w:p>
    <w:p>
      <w:pPr>
        <w:pStyle w:val="Normal"/>
        <w:spacing w:lineRule="auto" w:line="480"/>
        <w:rPr/>
      </w:pPr>
      <w:r>
        <w:rPr/>
        <w:t>Whenever possible, avoid technical terms or gloss them at their first use. Remember that many terms in biblical studies are technical, such as “evangelist,” “justification,” and “apocalypse.”</w:t>
      </w:r>
    </w:p>
    <w:p>
      <w:pPr>
        <w:pStyle w:val="Normal"/>
        <w:spacing w:lineRule="auto" w:line="480"/>
        <w:rPr/>
      </w:pPr>
      <w:r>
        <w:rPr/>
        <w:tab/>
        <w:t>Your writing should be straightforward, as simple as possible, and direct. Avoid passive constructions. The volume will not use footnotes and keeps parenthetical references to a minimum (</w:t>
      </w:r>
      <w:r>
        <w:rPr>
          <w:u w:val="single"/>
        </w:rPr>
        <w:t>we do not refer to secondary literature</w:t>
      </w:r>
      <w:r>
        <w:rPr/>
        <w:t xml:space="preserve">). </w:t>
      </w:r>
      <w:r>
        <w:rPr>
          <w:u w:val="single"/>
        </w:rPr>
        <w:t>If a topic is disputed or if there are clearly competing views on a subject, include explanations that make the disagreement clear, but do not connect opinions to particular scholars.</w:t>
      </w:r>
      <w:r>
        <w:rPr/>
        <w:t xml:space="preserve"> This volume is not the place for introducing novel, idiosyncratic theories.</w:t>
      </w:r>
    </w:p>
    <w:p>
      <w:pPr>
        <w:pStyle w:val="Normal"/>
        <w:spacing w:lineRule="auto" w:line="480"/>
        <w:rPr/>
      </w:pPr>
      <w:r>
        <w:rPr/>
        <w:tab/>
        <w:t xml:space="preserve">The NRSV-UE / NETS serves as the guide for spelling proper nouns appearing in the biblical text. </w:t>
      </w:r>
      <w:r>
        <w:rPr>
          <w:i/>
          <w:iCs/>
        </w:rPr>
        <w:t>Merriam-Webster’s Collegiate Dictionary</w:t>
      </w:r>
      <w:r>
        <w:rPr/>
        <w:t xml:space="preserve"> (11</w:t>
      </w:r>
      <w:r>
        <w:rPr>
          <w:vertAlign w:val="superscript"/>
        </w:rPr>
        <w:t>th</w:t>
      </w:r>
      <w:r>
        <w:rPr/>
        <w:t xml:space="preserve"> ed.) is recommended for spelling other words.  </w:t>
      </w:r>
    </w:p>
    <w:p>
      <w:pPr>
        <w:pStyle w:val="Normal"/>
        <w:spacing w:lineRule="auto" w:line="480"/>
        <w:rPr/>
      </w:pPr>
      <w:r>
        <w:rPr/>
        <w:tab/>
        <w:t xml:space="preserve">You will receive an edited copy of your materials for final approval.  </w:t>
      </w:r>
    </w:p>
    <w:p>
      <w:pPr>
        <w:pStyle w:val="Normal"/>
        <w:spacing w:lineRule="auto" w:line="480"/>
        <w:rPr/>
      </w:pPr>
      <w:r>
        <w:rPr/>
        <w:tab/>
        <w:t xml:space="preserve">Your name will appear in the table of contents and at the end of the book introduction, so please include it in the way you wish it to appear.  </w:t>
      </w:r>
    </w:p>
    <w:p>
      <w:pPr>
        <w:pStyle w:val="Normal"/>
        <w:spacing w:lineRule="auto" w:line="480"/>
        <w:ind w:firstLine="720"/>
        <w:rPr/>
      </w:pPr>
      <w:r>
        <w:rPr>
          <w:i/>
        </w:rPr>
        <w:t>Presentation style</w:t>
      </w:r>
      <w:r>
        <w:rPr/>
        <w:t xml:space="preserve">: descriptive, non-confessional, dispassionate. Please avoid any prescriptive or more personally involved style, such as, “Our Church Fathers …”; “our Church”; “our Christian faith/tradition”; or any evaluation “This Church Father </w:t>
      </w:r>
      <w:r>
        <w:rPr>
          <w:i/>
        </w:rPr>
        <w:t>rightly</w:t>
      </w:r>
      <w:r>
        <w:rPr/>
        <w:t xml:space="preserve"> remarks …” or “This patristic author is correct in his interpretation, while the other patristic interpreters are wrong ….”</w:t>
      </w:r>
    </w:p>
    <w:p>
      <w:pPr>
        <w:pStyle w:val="Normal"/>
        <w:spacing w:lineRule="auto" w:line="480"/>
        <w:rPr/>
      </w:pPr>
      <w:r>
        <w:rPr/>
      </w:r>
    </w:p>
    <w:p>
      <w:pPr>
        <w:pStyle w:val="Normal"/>
        <w:spacing w:lineRule="auto" w:line="480"/>
        <w:rPr/>
      </w:pPr>
      <w:r>
        <w:rPr>
          <w:b/>
          <w:i/>
        </w:rPr>
        <w:t>Word count</w:t>
      </w:r>
    </w:p>
    <w:p>
      <w:pPr>
        <w:pStyle w:val="Normal"/>
        <w:spacing w:lineRule="auto" w:line="480"/>
        <w:rPr/>
      </w:pPr>
      <w:r>
        <w:rPr/>
        <w:t>Please monitor your word count during the writing process. Since most word processors display word count continuously, keeping track of your word count will help to pace your annotations and will help to avoid anxiety about what material to cut later in the process. Please include a word count with your final submission. As noted above, contributions that deviate from the word count will be returned to you.</w:t>
      </w:r>
    </w:p>
    <w:p>
      <w:pPr>
        <w:pStyle w:val="Normal"/>
        <w:spacing w:lineRule="auto" w:line="480"/>
        <w:rPr>
          <w:highlight w:val="yellow"/>
        </w:rPr>
      </w:pPr>
      <w:r>
        <w:rPr>
          <w:highlight w:val="yellow"/>
        </w:rPr>
      </w:r>
    </w:p>
    <w:p>
      <w:pPr>
        <w:pStyle w:val="Normal"/>
        <w:spacing w:lineRule="auto" w:line="480"/>
        <w:rPr>
          <w:b/>
          <w:i/>
        </w:rPr>
      </w:pPr>
      <w:r>
        <w:rPr>
          <w:b/>
          <w:i/>
        </w:rPr>
        <w:t>Manuscript  Submission Procedure</w:t>
      </w:r>
    </w:p>
    <w:p>
      <w:pPr>
        <w:pStyle w:val="Normal"/>
        <w:spacing w:lineRule="auto" w:line="480"/>
        <w:rPr/>
      </w:pPr>
      <w:r>
        <w:rPr/>
        <w:t xml:space="preserve">We ask you to prepare a Microsoft Word document (12 Times New Roman font, double space, left alignment, 1 inch margins all around). </w:t>
      </w:r>
    </w:p>
    <w:p>
      <w:pPr>
        <w:pStyle w:val="Normal"/>
        <w:spacing w:lineRule="auto" w:line="480"/>
        <w:rPr/>
      </w:pPr>
      <w:r>
        <w:rPr/>
        <w:tab/>
        <w:t>The document should contain:</w:t>
      </w:r>
    </w:p>
    <w:p>
      <w:pPr>
        <w:pStyle w:val="ListParagraph"/>
        <w:numPr>
          <w:ilvl w:val="0"/>
          <w:numId w:val="6"/>
        </w:numPr>
        <w:spacing w:lineRule="auto" w:line="480"/>
        <w:rPr/>
      </w:pPr>
      <w:r>
        <w:rPr/>
        <w:t>Introduction to the biblical book.</w:t>
      </w:r>
    </w:p>
    <w:p>
      <w:pPr>
        <w:pStyle w:val="ListParagraph"/>
        <w:numPr>
          <w:ilvl w:val="0"/>
          <w:numId w:val="6"/>
        </w:numPr>
        <w:spacing w:lineRule="auto" w:line="480"/>
        <w:rPr/>
      </w:pPr>
      <w:r>
        <w:rPr/>
        <w:t>Running biblical text (chapter by chapter and verse by verse). Textual annotations will be attached to the text as endnotes.</w:t>
      </w:r>
    </w:p>
    <w:p>
      <w:pPr>
        <w:pStyle w:val="ListParagraph"/>
        <w:numPr>
          <w:ilvl w:val="0"/>
          <w:numId w:val="6"/>
        </w:numPr>
        <w:spacing w:lineRule="auto" w:line="480"/>
        <w:rPr/>
      </w:pPr>
      <w:r>
        <w:rPr/>
        <w:t>Two layers of annotations (exegetical and patristic) will be placed at the end of the running biblical text, pericope by pericope.</w:t>
      </w:r>
    </w:p>
    <w:p>
      <w:pPr>
        <w:pStyle w:val="ListParagraph"/>
        <w:numPr>
          <w:ilvl w:val="0"/>
          <w:numId w:val="6"/>
        </w:numPr>
        <w:spacing w:lineRule="auto" w:line="480"/>
        <w:rPr/>
        <w:sectPr>
          <w:headerReference w:type="even" r:id="rId2"/>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pPr>
      <w:r>
        <w:rPr/>
        <w:t>Bibliography of patristic authors employed in the annotations will be placed at the very end of the document. (</w:t>
      </w:r>
      <w:r>
        <w:rPr>
          <w:u w:val="single"/>
        </w:rPr>
        <w:t>For annotators' submission of individual books, however, bibliographies should be included at the end of each pericope</w:t>
      </w:r>
      <w:r>
        <w:rPr/>
        <w:t>—despite the resulting duplications—not at the end of each book's document alone.)</w:t>
      </w:r>
    </w:p>
    <w:p>
      <w:pPr>
        <w:pStyle w:val="Normal"/>
        <w:jc w:val="center"/>
        <w:rPr>
          <w:rFonts w:ascii="Times New Roman" w:hAnsi="Times New Roman" w:cs="Times New Roman"/>
          <w:b/>
          <w:bCs/>
        </w:rPr>
      </w:pPr>
      <w:r>
        <w:rPr>
          <w:rFonts w:cs="Times New Roman"/>
          <w:b/>
          <w:bCs/>
        </w:rPr>
      </w:r>
    </w:p>
    <w:p>
      <w:pPr>
        <w:pStyle w:val="Normal"/>
        <w:jc w:val="center"/>
        <w:rPr>
          <w:rFonts w:ascii="Times New Roman" w:hAnsi="Times New Roman" w:cs="Times New Roman"/>
          <w:b/>
          <w:bCs/>
        </w:rPr>
      </w:pPr>
      <w:r>
        <w:rPr>
          <w:rFonts w:cs="Times New Roman"/>
          <w:b/>
          <w:bCs/>
        </w:rPr>
        <w:t>Further Guidelines for Annotations for the ACSB</w:t>
      </w:r>
    </w:p>
    <w:p>
      <w:pPr>
        <w:pStyle w:val="Normal"/>
        <w:jc w:val="center"/>
        <w:rPr>
          <w:rFonts w:ascii="Times New Roman" w:hAnsi="Times New Roman" w:cs="Times New Roman"/>
          <w:b/>
          <w:bCs/>
        </w:rPr>
      </w:pPr>
      <w:r>
        <w:rPr>
          <w:rFonts w:cs="Times New Roman"/>
          <w:b/>
          <w:bCs/>
        </w:rPr>
      </w:r>
    </w:p>
    <w:p>
      <w:pPr>
        <w:pStyle w:val="Normal"/>
        <w:rPr>
          <w:rFonts w:ascii="Times New Roman" w:hAnsi="Times New Roman" w:cs="Times New Roman"/>
        </w:rPr>
      </w:pPr>
      <w:r>
        <w:rPr>
          <w:rFonts w:cs="Times New Roman"/>
        </w:rPr>
        <w:t>Dear contributors,</w:t>
      </w:r>
    </w:p>
    <w:p>
      <w:pPr>
        <w:pStyle w:val="Normal"/>
        <w:rPr>
          <w:rFonts w:ascii="Times New Roman" w:hAnsi="Times New Roman" w:cs="Times New Roman"/>
        </w:rPr>
      </w:pPr>
      <w:r>
        <w:rPr>
          <w:rFonts w:cs="Times New Roman"/>
        </w:rPr>
        <w:t>Fr Eugen and I have conferred on a few other matters we want to bring to your attention as we launch now into the annotation process for the ACSB, hoping that you are in touch with your advising editors as we plan ahead and undertake our collective work.</w:t>
      </w:r>
    </w:p>
    <w:p>
      <w:pPr>
        <w:pStyle w:val="Normal"/>
        <w:rPr>
          <w:rFonts w:ascii="Times New Roman" w:hAnsi="Times New Roman" w:cs="Times New Roman"/>
        </w:rPr>
      </w:pPr>
      <w:r>
        <w:rPr>
          <w:rFonts w:cs="Times New Roman"/>
        </w:rPr>
      </w:r>
    </w:p>
    <w:p>
      <w:pPr>
        <w:pStyle w:val="ListParagraph"/>
        <w:numPr>
          <w:ilvl w:val="0"/>
          <w:numId w:val="1"/>
        </w:numPr>
        <w:rPr>
          <w:rFonts w:ascii="Times New Roman" w:hAnsi="Times New Roman" w:cs="Times New Roman"/>
        </w:rPr>
      </w:pPr>
      <w:r>
        <w:rPr>
          <w:rFonts w:cs="Times New Roman"/>
        </w:rPr>
        <w:t>Focus on Premier Figures of Early Christian Interpretation</w:t>
      </w:r>
    </w:p>
    <w:p>
      <w:pPr>
        <w:pStyle w:val="ListParagraph"/>
        <w:ind w:hanging="0" w:start="1080"/>
        <w:rPr>
          <w:rFonts w:ascii="Times New Roman" w:hAnsi="Times New Roman" w:cs="Times New Roman"/>
        </w:rPr>
      </w:pPr>
      <w:r>
        <w:rPr>
          <w:rFonts w:cs="Times New Roman"/>
        </w:rPr>
      </w:r>
    </w:p>
    <w:p>
      <w:pPr>
        <w:pStyle w:val="ListParagraph"/>
        <w:numPr>
          <w:ilvl w:val="0"/>
          <w:numId w:val="2"/>
        </w:numPr>
        <w:ind w:hanging="360" w:start="1440"/>
        <w:rPr>
          <w:rFonts w:ascii="Times New Roman" w:hAnsi="Times New Roman" w:cs="Times New Roman"/>
        </w:rPr>
      </w:pPr>
      <w:r>
        <w:rPr>
          <w:rFonts w:cs="Times New Roman"/>
          <w:u w:val="single"/>
        </w:rPr>
        <w:t>Unless a more obscure interpreter has made an enormous contribution to patristic exegesis of a given text, avoid citing their work</w:t>
      </w:r>
      <w:r>
        <w:rPr>
          <w:rFonts w:cs="Times New Roman"/>
        </w:rPr>
        <w:t xml:space="preserve">. We have no choice but to pay close attention to the more luminary interpreters, the movers and shakers as it were. </w:t>
      </w:r>
    </w:p>
    <w:p>
      <w:pPr>
        <w:pStyle w:val="ListParagraph"/>
        <w:numPr>
          <w:ilvl w:val="0"/>
          <w:numId w:val="2"/>
        </w:numPr>
        <w:ind w:hanging="360" w:start="1440"/>
        <w:rPr>
          <w:rFonts w:ascii="Times New Roman" w:hAnsi="Times New Roman" w:cs="Times New Roman"/>
        </w:rPr>
      </w:pPr>
      <w:r>
        <w:rPr>
          <w:rFonts w:cs="Times New Roman"/>
          <w:u w:val="single"/>
        </w:rPr>
        <w:t>Try to be as comprehensive and representative as possible with regard to</w:t>
      </w:r>
      <w:r>
        <w:rPr>
          <w:rFonts w:cs="Times New Roman"/>
        </w:rPr>
        <w:t xml:space="preserve"> the three major linguistic/cultural traditions of early Christian interpretation: </w:t>
      </w:r>
      <w:r>
        <w:rPr>
          <w:rFonts w:cs="Times New Roman"/>
          <w:u w:val="single"/>
        </w:rPr>
        <w:t>Greek, Latin, and Syriac</w:t>
      </w:r>
      <w:r>
        <w:rPr>
          <w:rFonts w:cs="Times New Roman"/>
        </w:rPr>
        <w:t xml:space="preserve"> (though you may be able to justify inclusion of Coptic, Armenian (etc.) works where you deem them essential).  </w:t>
      </w:r>
    </w:p>
    <w:p>
      <w:pPr>
        <w:pStyle w:val="ListParagraph"/>
        <w:numPr>
          <w:ilvl w:val="0"/>
          <w:numId w:val="2"/>
        </w:numPr>
        <w:ind w:hanging="360" w:start="1440"/>
        <w:rPr>
          <w:rFonts w:ascii="Times New Roman" w:hAnsi="Times New Roman" w:cs="Times New Roman"/>
        </w:rPr>
      </w:pPr>
      <w:r>
        <w:rPr>
          <w:rFonts w:cs="Times New Roman"/>
          <w:u w:val="single"/>
        </w:rPr>
        <w:t>In the Greek tradition</w:t>
      </w:r>
      <w:r>
        <w:rPr>
          <w:rFonts w:cs="Times New Roman"/>
        </w:rPr>
        <w:t>, the luminaries include the corpus of Apostolic Fathers, the Greek Apologists (esp. Justin Martyr), Irenaeus, Clement of Alexandria, Origen, Eusebius of Caesarea, Athanasius, Basil of Caesarea, Gregory of Nazianzus, Gregory of Nyssa, Evagrius of Pontus, Didymus the Blind, John Chrysostom, Cyril of Alexandria, Diodore of Tarsus, Theodore of Mopsuestia, Theodoret of Cyrus, and Maximus the Confessor; also the preachers Basil of Seleucia and Hesychius of Jerusalem, and the hymnist Romanos the Melodist</w:t>
      </w:r>
    </w:p>
    <w:p>
      <w:pPr>
        <w:pStyle w:val="ListParagraph"/>
        <w:numPr>
          <w:ilvl w:val="0"/>
          <w:numId w:val="2"/>
        </w:numPr>
        <w:ind w:hanging="360" w:start="1440"/>
        <w:rPr>
          <w:rFonts w:ascii="Times New Roman" w:hAnsi="Times New Roman" w:cs="Times New Roman"/>
        </w:rPr>
      </w:pPr>
      <w:r>
        <w:rPr>
          <w:rFonts w:cs="Times New Roman"/>
          <w:u w:val="single"/>
        </w:rPr>
        <w:t>In the Latin tradition</w:t>
      </w:r>
      <w:r>
        <w:rPr>
          <w:rFonts w:cs="Times New Roman"/>
        </w:rPr>
        <w:t>, this would include Tertullian, Cyprian, Lactantius, Hilary of Poitiers, Ambrose of Milan, Jerome, Augustine, Gregory the Great, and late ancient preachers like Leo the Great, Peter Chrysologus, Caesarius of Arles</w:t>
      </w:r>
    </w:p>
    <w:p>
      <w:pPr>
        <w:pStyle w:val="ListParagraph"/>
        <w:numPr>
          <w:ilvl w:val="0"/>
          <w:numId w:val="2"/>
        </w:numPr>
        <w:ind w:hanging="360" w:start="1440"/>
        <w:rPr>
          <w:rFonts w:ascii="Times New Roman" w:hAnsi="Times New Roman" w:cs="Times New Roman"/>
        </w:rPr>
      </w:pPr>
      <w:r>
        <w:rPr>
          <w:rFonts w:cs="Times New Roman"/>
          <w:u w:val="single"/>
        </w:rPr>
        <w:t>In the Syriac tradition</w:t>
      </w:r>
      <w:r>
        <w:rPr>
          <w:rFonts w:cs="Times New Roman"/>
        </w:rPr>
        <w:t>, this would include Aphrahat, Ephrem the Syrian, Jacob of Sarug, Narsai, Isaac of Antioch</w:t>
      </w:r>
    </w:p>
    <w:p>
      <w:pPr>
        <w:pStyle w:val="Normal"/>
        <w:rPr>
          <w:rFonts w:ascii="Times New Roman" w:hAnsi="Times New Roman" w:cs="Times New Roman"/>
        </w:rPr>
      </w:pPr>
      <w:r>
        <w:rPr>
          <w:rFonts w:cs="Times New Roman"/>
        </w:rPr>
      </w:r>
    </w:p>
    <w:p>
      <w:pPr>
        <w:pStyle w:val="ListParagraph"/>
        <w:numPr>
          <w:ilvl w:val="0"/>
          <w:numId w:val="1"/>
        </w:numPr>
        <w:rPr>
          <w:rFonts w:ascii="Times New Roman" w:hAnsi="Times New Roman" w:cs="Times New Roman"/>
        </w:rPr>
      </w:pPr>
      <w:r>
        <w:rPr>
          <w:rFonts w:cs="Times New Roman"/>
        </w:rPr>
        <w:t>Priorities for Annotation</w:t>
      </w:r>
    </w:p>
    <w:p>
      <w:pPr>
        <w:pStyle w:val="ListParagraph"/>
        <w:ind w:hanging="0" w:start="1080"/>
        <w:rPr>
          <w:rFonts w:ascii="Times New Roman" w:hAnsi="Times New Roman" w:cs="Times New Roman"/>
        </w:rPr>
      </w:pPr>
      <w:r>
        <w:rPr>
          <w:rFonts w:cs="Times New Roman"/>
        </w:rPr>
      </w:r>
    </w:p>
    <w:p>
      <w:pPr>
        <w:pStyle w:val="ListParagraph"/>
        <w:numPr>
          <w:ilvl w:val="0"/>
          <w:numId w:val="2"/>
        </w:numPr>
        <w:ind w:hanging="360" w:start="1440"/>
        <w:rPr>
          <w:rFonts w:ascii="Times New Roman" w:hAnsi="Times New Roman" w:cs="Times New Roman"/>
        </w:rPr>
      </w:pPr>
      <w:r>
        <w:rPr>
          <w:rFonts w:cs="Times New Roman"/>
          <w:u w:val="single"/>
        </w:rPr>
        <w:t>Focus annotations on the interpreters’ work simply to understand the basic meaning of a biblical text</w:t>
      </w:r>
      <w:r>
        <w:rPr>
          <w:rFonts w:cs="Times New Roman"/>
        </w:rPr>
        <w:t>, not how they use the text polemically in a theological controversy (which will not be relevant to a popular audience)—though clearly with some homilists and commentators, the only real work they are doing on a text is in a dispute with others about its true meaning</w:t>
      </w:r>
    </w:p>
    <w:p>
      <w:pPr>
        <w:pStyle w:val="ListParagraph"/>
        <w:numPr>
          <w:ilvl w:val="0"/>
          <w:numId w:val="2"/>
        </w:numPr>
        <w:ind w:hanging="360" w:start="1440"/>
        <w:rPr>
          <w:rFonts w:ascii="Times New Roman" w:hAnsi="Times New Roman" w:cs="Times New Roman"/>
        </w:rPr>
      </w:pPr>
      <w:r>
        <w:rPr>
          <w:rFonts w:cs="Times New Roman"/>
          <w:u w:val="single"/>
        </w:rPr>
        <w:t>Do not venture into the so-called heterodox (Gnostic, Marcionite, etc.) interpretations</w:t>
      </w:r>
      <w:r>
        <w:rPr>
          <w:rFonts w:cs="Times New Roman"/>
        </w:rPr>
        <w:t>, as these kinds of approaches can be handled in larger essays and in your introduction to the book that you’re annotating. There simply is not the space to load annotations with information about orthodox vs heterodox (or heretical)</w:t>
      </w:r>
    </w:p>
    <w:p>
      <w:pPr>
        <w:pStyle w:val="ListParagraph"/>
        <w:numPr>
          <w:ilvl w:val="0"/>
          <w:numId w:val="2"/>
        </w:numPr>
        <w:ind w:hanging="360" w:start="1440"/>
        <w:rPr>
          <w:rFonts w:ascii="Times New Roman" w:hAnsi="Times New Roman" w:cs="Times New Roman"/>
        </w:rPr>
      </w:pPr>
      <w:r>
        <w:rPr>
          <w:rFonts w:cs="Times New Roman"/>
        </w:rPr>
        <w:t xml:space="preserve">Use common sense. For example, it would be impossible to annotate Proverbs 8:22 without noting the urgency of many commentators to identify Wisdom with the Son/Logo/Christ; but that can’t entail diving into the details of the Arian controversy </w:t>
      </w:r>
    </w:p>
    <w:p>
      <w:pPr>
        <w:pStyle w:val="ListParagraph"/>
        <w:numPr>
          <w:ilvl w:val="0"/>
          <w:numId w:val="2"/>
        </w:numPr>
        <w:ind w:hanging="360" w:start="1440"/>
        <w:rPr>
          <w:rFonts w:ascii="Times New Roman" w:hAnsi="Times New Roman" w:cs="Times New Roman"/>
        </w:rPr>
      </w:pPr>
      <w:r>
        <w:rPr>
          <w:rFonts w:cs="Times New Roman"/>
        </w:rPr>
        <w:t>Retain constant attention to the audience for whom you are giving annotations, recognizing their broad lack of familiarity with the landscapes of early Christian interpretation of Scripture. Anticipate what would be interesting or striking to them.</w:t>
      </w:r>
    </w:p>
    <w:p>
      <w:pPr>
        <w:pStyle w:val="ListParagraph"/>
        <w:numPr>
          <w:ilvl w:val="0"/>
          <w:numId w:val="2"/>
        </w:numPr>
        <w:ind w:hanging="360" w:start="1440"/>
        <w:rPr>
          <w:rFonts w:ascii="Times New Roman" w:hAnsi="Times New Roman" w:cs="Times New Roman"/>
        </w:rPr>
      </w:pPr>
      <w:r>
        <w:rPr>
          <w:rFonts w:cs="Times New Roman"/>
        </w:rPr>
        <w:t xml:space="preserve">In seeking to represent the early Christian approaches to a text, </w:t>
      </w:r>
      <w:r>
        <w:rPr>
          <w:rFonts w:cs="Times New Roman"/>
          <w:u w:val="single"/>
        </w:rPr>
        <w:t xml:space="preserve">be as representative but also </w:t>
      </w:r>
      <w:r>
        <w:rPr>
          <w:rFonts w:cs="Times New Roman"/>
          <w:i/>
          <w:iCs/>
          <w:u w:val="single"/>
        </w:rPr>
        <w:t>synthetic</w:t>
      </w:r>
      <w:r>
        <w:rPr>
          <w:rFonts w:cs="Times New Roman"/>
          <w:u w:val="single"/>
        </w:rPr>
        <w:t xml:space="preserve"> as possible</w:t>
      </w:r>
      <w:r>
        <w:rPr>
          <w:rFonts w:cs="Times New Roman"/>
        </w:rPr>
        <w:t xml:space="preserve">. Don’t just line up disparate opinions but get at the thrust and the common ground of the interpretations that you note. Anticipate where an audience might become confused.  </w:t>
      </w:r>
    </w:p>
    <w:p>
      <w:pPr>
        <w:pStyle w:val="ListParagraph"/>
        <w:numPr>
          <w:ilvl w:val="0"/>
          <w:numId w:val="2"/>
        </w:numPr>
        <w:ind w:hanging="360" w:start="1440"/>
        <w:rPr>
          <w:rFonts w:ascii="Times New Roman" w:hAnsi="Times New Roman" w:cs="Times New Roman"/>
        </w:rPr>
      </w:pPr>
      <w:r>
        <w:rPr>
          <w:rFonts w:cs="Times New Roman"/>
        </w:rPr>
        <w:t>In producing annotations, you are laying out material without the luxury of sustained critical analysis of their validity within their own context or in ours.</w:t>
      </w:r>
    </w:p>
    <w:p>
      <w:pPr>
        <w:pStyle w:val="Normal"/>
        <w:ind w:hanging="0" w:start="1080"/>
        <w:rPr>
          <w:rFonts w:ascii="Times New Roman" w:hAnsi="Times New Roman" w:cs="Times New Roman"/>
        </w:rPr>
      </w:pPr>
      <w:r>
        <w:rPr>
          <w:rFonts w:cs="Times New Roman"/>
        </w:rPr>
        <w:t xml:space="preserve"> </w:t>
      </w:r>
    </w:p>
    <w:p>
      <w:pPr>
        <w:pStyle w:val="Normal"/>
        <w:jc w:val="center"/>
        <w:rPr>
          <w:rFonts w:ascii="Times New Roman" w:hAnsi="Times New Roman" w:cs="Times New Roman"/>
          <w:b/>
          <w:bCs/>
        </w:rPr>
      </w:pPr>
      <w:r>
        <w:rPr>
          <w:rFonts w:cs="Times New Roman"/>
          <w:b/>
          <w:bCs/>
        </w:rPr>
      </w:r>
    </w:p>
    <w:p>
      <w:pPr>
        <w:pStyle w:val="Normal"/>
        <w:jc w:val="center"/>
        <w:rPr>
          <w:rFonts w:ascii="Times New Roman" w:hAnsi="Times New Roman" w:cs="Times New Roman"/>
          <w:b/>
          <w:bCs/>
        </w:rPr>
      </w:pPr>
      <w:r>
        <w:rPr>
          <w:rFonts w:cs="Times New Roman"/>
          <w:b/>
          <w:bCs/>
        </w:rPr>
      </w:r>
    </w:p>
    <w:p>
      <w:pPr>
        <w:pStyle w:val="Normal"/>
        <w:spacing w:lineRule="auto" w:line="480"/>
        <w:rPr>
          <w:b/>
        </w:rPr>
      </w:pPr>
      <w:r>
        <w:rPr>
          <w:b/>
        </w:rPr>
      </w:r>
    </w:p>
    <w:p>
      <w:pPr>
        <w:pStyle w:val="Normal"/>
        <w:spacing w:lineRule="auto" w:line="480"/>
        <w:jc w:val="center"/>
        <w:rPr>
          <w:b/>
          <w:lang w:val="fr-FR"/>
        </w:rPr>
      </w:pPr>
      <w:r>
        <w:rPr>
          <w:b/>
          <w:lang w:val="fr-FR"/>
        </w:rPr>
        <w:t>SAMPLES</w:t>
      </w:r>
    </w:p>
    <w:p>
      <w:pPr>
        <w:pStyle w:val="Normal"/>
        <w:spacing w:lineRule="auto" w:line="480"/>
        <w:rPr>
          <w:b/>
          <w:lang w:val="fr-FR"/>
        </w:rPr>
      </w:pPr>
      <w:r>
        <w:rPr>
          <w:b/>
          <w:lang w:val="fr-FR"/>
        </w:rPr>
      </w:r>
    </w:p>
    <w:p>
      <w:pPr>
        <w:pStyle w:val="Normal"/>
        <w:spacing w:lineRule="auto" w:line="480"/>
        <w:rPr>
          <w:b/>
          <w:highlight w:val="yellow"/>
          <w:lang w:val="fr-FR"/>
        </w:rPr>
      </w:pPr>
      <w:r>
        <w:rPr>
          <w:b/>
          <w:highlight w:val="yellow"/>
          <w:lang w:val="fr-FR"/>
        </w:rPr>
      </w:r>
    </w:p>
    <w:p>
      <w:pPr>
        <w:pStyle w:val="Normal"/>
        <w:spacing w:lineRule="auto" w:line="480"/>
        <w:rPr>
          <w:b/>
          <w:highlight w:val="yellow"/>
          <w:lang w:val="fr-FR"/>
        </w:rPr>
      </w:pPr>
      <w:r>
        <w:rPr>
          <w:b/>
          <w:highlight w:val="yellow"/>
          <w:lang w:val="fr-FR"/>
        </w:rPr>
      </w:r>
    </w:p>
    <w:p>
      <w:pPr>
        <w:pStyle w:val="Normal"/>
        <w:spacing w:lineRule="auto" w:line="480"/>
        <w:jc w:val="center"/>
        <w:rPr>
          <w:b/>
          <w:lang w:val="fr-FR"/>
        </w:rPr>
      </w:pPr>
      <w:r>
        <w:rPr>
          <w:b/>
          <w:lang w:val="fr-FR"/>
        </w:rPr>
        <w:t>Sample 1</w:t>
      </w:r>
    </w:p>
    <w:p>
      <w:pPr>
        <w:pStyle w:val="Normal"/>
        <w:spacing w:lineRule="auto" w:line="480"/>
        <w:jc w:val="center"/>
        <w:rPr>
          <w:lang w:val="fr-FR"/>
        </w:rPr>
      </w:pPr>
      <w:r>
        <w:rPr>
          <w:lang w:val="fr-FR"/>
        </w:rPr>
        <w:t>(Eugen J. Pentiuc)</w:t>
      </w:r>
    </w:p>
    <w:p>
      <w:pPr>
        <w:pStyle w:val="Normal"/>
        <w:spacing w:lineRule="auto" w:line="480"/>
        <w:rPr>
          <w:b/>
          <w:lang w:val="fr-FR"/>
        </w:rPr>
      </w:pPr>
      <w:r>
        <w:rPr>
          <w:b/>
          <w:lang w:val="fr-FR"/>
        </w:rPr>
      </w:r>
    </w:p>
    <w:p>
      <w:pPr>
        <w:pStyle w:val="Normal"/>
        <w:spacing w:lineRule="auto" w:line="480"/>
        <w:rPr>
          <w:b/>
          <w:i/>
        </w:rPr>
      </w:pPr>
      <w:r>
        <w:rPr>
          <w:b/>
        </w:rPr>
        <w:t xml:space="preserve">Pericope: </w:t>
      </w:r>
      <w:r>
        <w:rPr>
          <w:b/>
          <w:i/>
        </w:rPr>
        <w:t>Hosea 3.1–5: Love and Abstinence</w:t>
      </w:r>
    </w:p>
    <w:p>
      <w:pPr>
        <w:pStyle w:val="Normal"/>
        <w:spacing w:lineRule="auto" w:line="480"/>
        <w:rPr>
          <w:b/>
          <w:i/>
        </w:rPr>
      </w:pPr>
      <w:r>
        <w:rPr>
          <w:b/>
          <w:i/>
        </w:rPr>
      </w:r>
    </w:p>
    <w:p>
      <w:pPr>
        <w:pStyle w:val="Normal"/>
        <w:spacing w:lineRule="auto" w:line="480"/>
        <w:rPr>
          <w:b/>
        </w:rPr>
      </w:pPr>
      <w:r>
        <w:rPr>
          <w:b/>
        </w:rPr>
        <w:t>Text</w:t>
      </w:r>
    </w:p>
    <w:p>
      <w:pPr>
        <w:pStyle w:val="Normal"/>
        <w:spacing w:lineRule="auto" w:line="480"/>
        <w:rPr/>
      </w:pPr>
      <w:r>
        <w:rPr/>
      </w:r>
    </w:p>
    <w:p>
      <w:pPr>
        <w:pStyle w:val="Normal"/>
        <w:widowControl w:val="false"/>
        <w:spacing w:lineRule="auto" w:line="480"/>
        <w:rPr>
          <w:lang w:bidi="he-IL"/>
        </w:rPr>
      </w:pPr>
      <w:r>
        <w:rPr>
          <w:b/>
          <w:bCs/>
          <w:lang w:bidi="he-IL"/>
        </w:rPr>
        <w:t>3.1.</w:t>
      </w:r>
      <w:r>
        <w:rPr>
          <w:lang w:bidi="he-IL"/>
        </w:rPr>
        <w:t xml:space="preserve"> And the Lord said to me, “Go again, and love a woman that loves evil things,</w:t>
      </w:r>
      <w:r>
        <w:rPr>
          <w:rStyle w:val="FootnoteReference"/>
          <w:lang w:bidi="he-IL"/>
        </w:rPr>
        <w:footnoteReference w:id="2"/>
      </w:r>
      <w:r>
        <w:rPr>
          <w:lang w:bidi="he-IL"/>
        </w:rPr>
        <w:t xml:space="preserve"> an adulteress, even as the Lord loves the children of Israel, and they themselves look away to other gods, and they like cakes with raisins.” </w:t>
      </w:r>
      <w:r>
        <w:rPr>
          <w:b/>
          <w:lang w:bidi="he-IL"/>
        </w:rPr>
        <w:t>2.</w:t>
      </w:r>
      <w:r>
        <w:rPr>
          <w:lang w:bidi="he-IL"/>
        </w:rPr>
        <w:t xml:space="preserve"> So I hired [</w:t>
      </w:r>
      <w:r>
        <w:rPr>
          <w:iCs/>
          <w:lang w:bidi="he-IL"/>
        </w:rPr>
        <w:t>her]</w:t>
      </w:r>
      <w:r>
        <w:rPr>
          <w:rStyle w:val="FootnoteReference"/>
          <w:iCs/>
          <w:lang w:bidi="he-IL"/>
        </w:rPr>
        <w:footnoteReference w:id="3"/>
      </w:r>
      <w:r>
        <w:rPr>
          <w:i/>
          <w:iCs/>
          <w:lang w:bidi="he-IL"/>
        </w:rPr>
        <w:t xml:space="preserve"> </w:t>
      </w:r>
      <w:r>
        <w:rPr>
          <w:lang w:bidi="he-IL"/>
        </w:rPr>
        <w:t>to myself for fifteen [</w:t>
      </w:r>
      <w:r>
        <w:rPr>
          <w:iCs/>
          <w:lang w:bidi="he-IL"/>
        </w:rPr>
        <w:t>pieces]</w:t>
      </w:r>
      <w:r>
        <w:rPr>
          <w:i/>
          <w:iCs/>
          <w:lang w:bidi="he-IL"/>
        </w:rPr>
        <w:t xml:space="preserve"> </w:t>
      </w:r>
      <w:r>
        <w:rPr>
          <w:lang w:bidi="he-IL"/>
        </w:rPr>
        <w:t>of silver, and a homer of barley, and a nebel of wine;</w:t>
      </w:r>
      <w:r>
        <w:rPr>
          <w:rStyle w:val="FootnoteReference"/>
          <w:lang w:bidi="he-IL"/>
        </w:rPr>
        <w:footnoteReference w:id="4"/>
      </w:r>
      <w:r>
        <w:rPr>
          <w:lang w:bidi="he-IL"/>
        </w:rPr>
        <w:t xml:space="preserve"> </w:t>
      </w:r>
      <w:r>
        <w:rPr>
          <w:b/>
          <w:lang w:bidi="he-IL"/>
        </w:rPr>
        <w:t>3.</w:t>
      </w:r>
      <w:r>
        <w:rPr>
          <w:lang w:bidi="he-IL"/>
        </w:rPr>
        <w:t xml:space="preserve"> And I said to her, “For many days, you shall sit for me; and you shall not commit fornication, neither shall you be for </w:t>
      </w:r>
      <w:r>
        <w:rPr>
          <w:iCs/>
          <w:lang w:bidi="he-IL"/>
        </w:rPr>
        <w:t>another</w:t>
      </w:r>
      <w:r>
        <w:rPr>
          <w:i/>
          <w:iCs/>
          <w:lang w:bidi="he-IL"/>
        </w:rPr>
        <w:t xml:space="preserve"> </w:t>
      </w:r>
      <w:r>
        <w:rPr>
          <w:lang w:bidi="he-IL"/>
        </w:rPr>
        <w:t>man; and I [</w:t>
      </w:r>
      <w:r>
        <w:rPr>
          <w:iCs/>
          <w:lang w:bidi="he-IL"/>
        </w:rPr>
        <w:t>will be]</w:t>
      </w:r>
      <w:r>
        <w:rPr>
          <w:i/>
          <w:iCs/>
          <w:lang w:bidi="he-IL"/>
        </w:rPr>
        <w:t xml:space="preserve"> </w:t>
      </w:r>
      <w:r>
        <w:rPr>
          <w:lang w:bidi="he-IL"/>
        </w:rPr>
        <w:t xml:space="preserve">for you.” </w:t>
      </w:r>
      <w:r>
        <w:rPr>
          <w:b/>
          <w:lang w:bidi="he-IL"/>
        </w:rPr>
        <w:t>4.</w:t>
      </w:r>
      <w:r>
        <w:rPr>
          <w:lang w:bidi="he-IL"/>
        </w:rPr>
        <w:t xml:space="preserve"> For many days, the children of Israel shall sit without a king, and without a ruler and without a sacrifice, and without an altar, and without a priesthood,</w:t>
      </w:r>
      <w:r>
        <w:rPr>
          <w:rStyle w:val="FootnoteReference"/>
          <w:lang w:bidi="he-IL"/>
        </w:rPr>
        <w:footnoteReference w:id="5"/>
      </w:r>
      <w:r>
        <w:rPr>
          <w:lang w:bidi="he-IL"/>
        </w:rPr>
        <w:t xml:space="preserve"> and without revelations;</w:t>
      </w:r>
      <w:r>
        <w:rPr>
          <w:rStyle w:val="FootnoteReference"/>
          <w:lang w:bidi="he-IL"/>
        </w:rPr>
        <w:footnoteReference w:id="6"/>
      </w:r>
      <w:r>
        <w:rPr>
          <w:lang w:bidi="he-IL"/>
        </w:rPr>
        <w:t xml:space="preserve"> </w:t>
      </w:r>
      <w:r>
        <w:rPr>
          <w:b/>
          <w:lang w:bidi="he-IL"/>
        </w:rPr>
        <w:t>5.</w:t>
      </w:r>
      <w:r>
        <w:rPr>
          <w:lang w:bidi="he-IL"/>
        </w:rPr>
        <w:t xml:space="preserve"> And after these things, shall the children of Israel return, and shall seek for the Lord their God, and David their king; and they shall stand in awe at the Lord and at his good things in the last days. [*Revised version of Brenton translation*]</w:t>
      </w:r>
    </w:p>
    <w:p>
      <w:pPr>
        <w:pStyle w:val="Normal"/>
        <w:spacing w:lineRule="auto" w:line="480"/>
        <w:rPr/>
      </w:pPr>
      <w:r>
        <w:rPr/>
      </w:r>
    </w:p>
    <w:p>
      <w:pPr>
        <w:pStyle w:val="Normal"/>
        <w:spacing w:lineRule="auto" w:line="480"/>
        <w:rPr>
          <w:b/>
        </w:rPr>
      </w:pPr>
      <w:r>
        <w:rPr>
          <w:b/>
        </w:rPr>
        <w:t xml:space="preserve">Exegetical Annotations </w:t>
      </w:r>
    </w:p>
    <w:p>
      <w:pPr>
        <w:pStyle w:val="Normal"/>
        <w:spacing w:lineRule="auto" w:line="480"/>
        <w:rPr/>
      </w:pPr>
      <w:r>
        <w:rPr/>
      </w:r>
    </w:p>
    <w:p>
      <w:pPr>
        <w:pStyle w:val="Normal"/>
        <w:widowControl w:val="false"/>
        <w:spacing w:lineRule="auto" w:line="480"/>
        <w:rPr>
          <w:lang w:bidi="he-IL"/>
        </w:rPr>
      </w:pPr>
      <w:r>
        <w:rPr>
          <w:b/>
        </w:rPr>
        <w:t>Hos 3.1–5: Love and Abstinence</w:t>
      </w:r>
      <w:r>
        <w:rPr/>
        <w:t xml:space="preserve"> Hosea’s autobiography consists of three parts: God’s command (v. 1); prophet’s action, including his own command to Gomer (unnamed here) (vv. 2–3); interpretation (vv. 4–5). </w:t>
      </w:r>
      <w:r>
        <w:rPr>
          <w:b/>
        </w:rPr>
        <w:t>1:</w:t>
      </w:r>
      <w:r>
        <w:rPr/>
        <w:t xml:space="preserve"> </w:t>
      </w:r>
      <w:r>
        <w:rPr>
          <w:i/>
        </w:rPr>
        <w:t>love</w:t>
      </w:r>
      <w:r>
        <w:rPr/>
        <w:t xml:space="preserve"> contrasts with the first divine command (1.2) to “take” Gomer in marriage. </w:t>
      </w:r>
      <w:r>
        <w:rPr>
          <w:b/>
        </w:rPr>
        <w:t>2:</w:t>
      </w:r>
      <w:r>
        <w:rPr/>
        <w:t xml:space="preserve"> </w:t>
      </w:r>
      <w:r>
        <w:rPr>
          <w:i/>
        </w:rPr>
        <w:t>I hired [her]</w:t>
      </w:r>
      <w:r>
        <w:rPr/>
        <w:t xml:space="preserve">, presumably Hosea pays a price of redemption to an unidentified individual who “owned” Gomer. </w:t>
      </w:r>
      <w:r>
        <w:rPr>
          <w:b/>
        </w:rPr>
        <w:t>3–4:</w:t>
      </w:r>
      <w:r>
        <w:rPr/>
        <w:t xml:space="preserve"> </w:t>
      </w:r>
      <w:r>
        <w:rPr>
          <w:i/>
        </w:rPr>
        <w:t>for many days</w:t>
      </w:r>
      <w:r>
        <w:rPr/>
        <w:t xml:space="preserve">, Hosea’s restoration of marital union parallels God’s restoration of the covenant with Israel. Full restoration is preceded by disciplinary actions: self-assumed reciprocal abstinence (Hosea and Gomer) and absence of religious and royal institutions (Israel, during the exile). </w:t>
      </w:r>
      <w:r>
        <w:rPr>
          <w:b/>
        </w:rPr>
        <w:t>5:</w:t>
      </w:r>
      <w:r>
        <w:rPr/>
        <w:t xml:space="preserve"> </w:t>
      </w:r>
      <w:r>
        <w:rPr>
          <w:i/>
        </w:rPr>
        <w:t>David, their king</w:t>
      </w:r>
      <w:r>
        <w:rPr>
          <w:lang w:bidi="he-IL"/>
        </w:rPr>
        <w:t>, Hosea considers David the king of all Israel, not only of Judah.</w:t>
      </w:r>
    </w:p>
    <w:p>
      <w:pPr>
        <w:pStyle w:val="Normal"/>
        <w:widowControl w:val="false"/>
        <w:spacing w:lineRule="auto" w:line="480"/>
        <w:rPr>
          <w:color w:val="000000"/>
        </w:rPr>
      </w:pPr>
      <w:r>
        <w:rPr>
          <w:color w:val="000000"/>
        </w:rPr>
      </w:r>
    </w:p>
    <w:p>
      <w:pPr>
        <w:pStyle w:val="Normal"/>
        <w:widowControl w:val="false"/>
        <w:spacing w:lineRule="auto" w:line="480"/>
        <w:rPr>
          <w:b/>
          <w:color w:val="000000"/>
        </w:rPr>
      </w:pPr>
      <w:r>
        <w:rPr>
          <w:b/>
          <w:color w:val="000000"/>
        </w:rPr>
        <w:t>Patristic Annotations</w:t>
      </w:r>
    </w:p>
    <w:p>
      <w:pPr>
        <w:pStyle w:val="Normal"/>
        <w:widowControl w:val="false"/>
        <w:spacing w:lineRule="auto" w:line="480"/>
        <w:rPr>
          <w:color w:val="000000"/>
        </w:rPr>
      </w:pPr>
      <w:r>
        <w:rPr>
          <w:color w:val="000000"/>
        </w:rPr>
      </w:r>
    </w:p>
    <w:p>
      <w:pPr>
        <w:pStyle w:val="Normal"/>
        <w:spacing w:lineRule="auto" w:line="480"/>
        <w:rPr>
          <w:lang w:bidi="he-IL"/>
        </w:rPr>
      </w:pPr>
      <w:r>
        <w:rPr>
          <w:b/>
        </w:rPr>
        <w:t>1:</w:t>
      </w:r>
      <w:r>
        <w:rPr/>
        <w:t xml:space="preserve"> </w:t>
      </w:r>
      <w:r>
        <w:rPr>
          <w:i/>
        </w:rPr>
        <w:t>love a</w:t>
      </w:r>
      <w:r>
        <w:rPr/>
        <w:t xml:space="preserve"> </w:t>
      </w:r>
      <w:r>
        <w:rPr>
          <w:i/>
        </w:rPr>
        <w:t>woman, s</w:t>
      </w:r>
      <w:r>
        <w:rPr/>
        <w:t>ome ancient interpreters (Jerome) saw in this “woman” Gomer, Hosea’s wife (1.3), while others (Cyril of Alexandria) a different person. For Jacob of Sarug (</w:t>
      </w:r>
      <w:r>
        <w:rPr>
          <w:i/>
        </w:rPr>
        <w:t>Memra</w:t>
      </w:r>
      <w:r>
        <w:rPr/>
        <w:t xml:space="preserve"> 197–198, 201–202), through this command to “love” the wayward wife, God tested Hosea’s obedience (cf. 1.2–9). </w:t>
      </w:r>
      <w:r>
        <w:rPr>
          <w:b/>
        </w:rPr>
        <w:t>2:</w:t>
      </w:r>
      <w:r>
        <w:rPr/>
        <w:t xml:space="preserve"> </w:t>
      </w:r>
      <w:r>
        <w:rPr>
          <w:i/>
        </w:rPr>
        <w:t>I hired [her]</w:t>
      </w:r>
      <w:r>
        <w:rPr/>
        <w:t xml:space="preserve"> According to Theodoret of Cyrus (</w:t>
      </w:r>
      <w:r>
        <w:rPr>
          <w:i/>
          <w:lang w:bidi="he-IL"/>
        </w:rPr>
        <w:t>Enarr.Os</w:t>
      </w:r>
      <w:r>
        <w:rPr/>
        <w:t xml:space="preserve"> [PG 81:1568]), by “hiring” her, the prophet condescends turning himself into a “client” so that the woman would not feel intimidated or demoted by being brought home, especially if the woman was Gomer. </w:t>
      </w:r>
      <w:r>
        <w:rPr>
          <w:b/>
        </w:rPr>
        <w:t>3:</w:t>
      </w:r>
      <w:r>
        <w:rPr/>
        <w:t xml:space="preserve"> </w:t>
      </w:r>
      <w:r>
        <w:rPr>
          <w:lang w:bidi="he-IL"/>
        </w:rPr>
        <w:t xml:space="preserve">The recondite way of calculating the hiring fee (cash and produce) confers historicity on the entire chapter 3 (Theodore of Mopsuestia, </w:t>
      </w:r>
      <w:r>
        <w:rPr>
          <w:i/>
          <w:lang w:bidi="he-IL"/>
        </w:rPr>
        <w:t>Comm.Os</w:t>
      </w:r>
      <w:r>
        <w:rPr>
          <w:lang w:bidi="he-IL"/>
        </w:rPr>
        <w:t xml:space="preserve"> [PG 66:145]). With respect to the “hiring” fee, Cyril of Alexandria (</w:t>
      </w:r>
      <w:r>
        <w:rPr>
          <w:i/>
          <w:lang w:bidi="he-IL"/>
        </w:rPr>
        <w:t>Comm.Os</w:t>
      </w:r>
      <w:r>
        <w:rPr>
          <w:lang w:bidi="he-IL"/>
        </w:rPr>
        <w:t xml:space="preserve"> [PG 71:105]) divides the cash (fifteen pieces of silver) into seven (a reference to the Sabbath or the seventh day, and the Old Law) and eight (indicating Christ’s resurrection, which occurred on the “eighth day” [i.e., Sunday] and the New Law), hence God restored the fallen humanity by the means of two laws or testaments. For Jerome (</w:t>
      </w:r>
      <w:r>
        <w:rPr>
          <w:i/>
          <w:lang w:bidi="he-IL"/>
        </w:rPr>
        <w:t>Comm.Os</w:t>
      </w:r>
      <w:r>
        <w:rPr>
          <w:lang w:bidi="he-IL"/>
        </w:rPr>
        <w:t xml:space="preserve"> [PG 25:843]), the cash hints at the fifteenth day of Nisan (Passover) when Israel was led out of Egypt. </w:t>
      </w:r>
      <w:r>
        <w:rPr>
          <w:i/>
          <w:lang w:bidi="he-IL"/>
        </w:rPr>
        <w:t>I [will be] for you,</w:t>
      </w:r>
      <w:r>
        <w:rPr>
          <w:lang w:bidi="he-IL"/>
        </w:rPr>
        <w:t xml:space="preserve"> the ellipsis, and the use of </w:t>
      </w:r>
      <w:r>
        <w:rPr>
          <w:i/>
          <w:lang w:bidi="he-IL"/>
        </w:rPr>
        <w:t>epi</w:t>
      </w:r>
      <w:r>
        <w:rPr>
          <w:lang w:bidi="he-IL"/>
        </w:rPr>
        <w:t xml:space="preserve"> “for” in both cases (Gomer and Hosea) suggests the prophet’s self-assumed abstinence (Theodoret of Cyrus, </w:t>
      </w:r>
      <w:r>
        <w:rPr>
          <w:i/>
          <w:lang w:bidi="he-IL"/>
        </w:rPr>
        <w:t>Enarr.Os</w:t>
      </w:r>
      <w:r>
        <w:rPr>
          <w:lang w:bidi="he-IL"/>
        </w:rPr>
        <w:t xml:space="preserve"> [PG 81:1569]. </w:t>
      </w:r>
      <w:r>
        <w:rPr>
          <w:b/>
          <w:lang w:bidi="he-IL"/>
        </w:rPr>
        <w:t>5:</w:t>
      </w:r>
      <w:r>
        <w:rPr>
          <w:lang w:bidi="he-IL"/>
        </w:rPr>
        <w:t xml:space="preserve"> </w:t>
      </w:r>
      <w:r>
        <w:rPr>
          <w:i/>
          <w:lang w:bidi="he-IL"/>
        </w:rPr>
        <w:t>David their king,</w:t>
      </w:r>
      <w:r>
        <w:rPr>
          <w:lang w:bidi="he-IL"/>
        </w:rPr>
        <w:t xml:space="preserve"> for Theodoret of Cyrus (</w:t>
      </w:r>
      <w:r>
        <w:rPr>
          <w:i/>
          <w:lang w:bidi="he-IL"/>
        </w:rPr>
        <w:t>Enarr.Os</w:t>
      </w:r>
      <w:r>
        <w:rPr>
          <w:lang w:bidi="he-IL"/>
        </w:rPr>
        <w:t xml:space="preserve"> [PG 81:1569]), this phrase is a hint at the prince Zerubbabel from the Davidic tribe, under whom the Israelites returned from Babylonian exile. Augustine (</w:t>
      </w:r>
      <w:r>
        <w:rPr>
          <w:i/>
          <w:lang w:bidi="he-IL"/>
        </w:rPr>
        <w:t>Civ.</w:t>
      </w:r>
      <w:r>
        <w:rPr>
          <w:lang w:bidi="he-IL"/>
        </w:rPr>
        <w:t xml:space="preserve"> 18.28) sees in this king a foreshadowing of Christ who was born of David’s offspring (Rom 1.3). Theodore of Mopsuestia (</w:t>
      </w:r>
      <w:r>
        <w:rPr>
          <w:i/>
          <w:lang w:bidi="he-IL"/>
        </w:rPr>
        <w:t>Comm.Os</w:t>
      </w:r>
      <w:r>
        <w:rPr>
          <w:lang w:bidi="he-IL"/>
        </w:rPr>
        <w:t xml:space="preserve"> [PG 66:145]) connects the “good things” (</w:t>
      </w:r>
      <w:r>
        <w:rPr>
          <w:i/>
          <w:lang w:bidi="he-IL"/>
        </w:rPr>
        <w:t>agathōn</w:t>
      </w:r>
      <w:r>
        <w:rPr>
          <w:lang w:bidi="he-IL"/>
        </w:rPr>
        <w:t>) with the “divine providence” (</w:t>
      </w:r>
      <w:r>
        <w:rPr>
          <w:i/>
          <w:lang w:bidi="he-IL"/>
        </w:rPr>
        <w:t>pronoias</w:t>
      </w:r>
      <w:r>
        <w:rPr>
          <w:lang w:bidi="he-IL"/>
        </w:rPr>
        <w:t>) while Cyril of Alexandria (</w:t>
      </w:r>
      <w:r>
        <w:rPr>
          <w:i/>
          <w:lang w:bidi="he-IL"/>
        </w:rPr>
        <w:t>Comm.Os</w:t>
      </w:r>
      <w:r>
        <w:rPr>
          <w:lang w:bidi="he-IL"/>
        </w:rPr>
        <w:t xml:space="preserve"> [PG 71:109]) identifies this term with God’s “kindness” (</w:t>
      </w:r>
      <w:r>
        <w:rPr>
          <w:i/>
          <w:lang w:bidi="he-IL"/>
        </w:rPr>
        <w:t>philotimias</w:t>
      </w:r>
      <w:r>
        <w:rPr>
          <w:lang w:bidi="he-IL"/>
        </w:rPr>
        <w:t>) and “grace” (</w:t>
      </w:r>
      <w:r>
        <w:rPr>
          <w:i/>
          <w:lang w:bidi="he-IL"/>
        </w:rPr>
        <w:t>charin</w:t>
      </w:r>
      <w:r>
        <w:rPr>
          <w:lang w:bidi="he-IL"/>
        </w:rPr>
        <w:t>).</w:t>
      </w:r>
    </w:p>
    <w:p>
      <w:pPr>
        <w:pStyle w:val="Normal"/>
        <w:spacing w:lineRule="auto" w:line="480"/>
        <w:rPr>
          <w:b/>
        </w:rPr>
      </w:pPr>
      <w:r>
        <w:rPr>
          <w:b/>
        </w:rPr>
      </w:r>
    </w:p>
    <w:p>
      <w:pPr>
        <w:pStyle w:val="Normal"/>
        <w:widowControl w:val="false"/>
        <w:spacing w:lineRule="auto" w:line="480"/>
        <w:rPr>
          <w:b/>
          <w:color w:val="000000"/>
        </w:rPr>
      </w:pPr>
      <w:r>
        <w:rPr>
          <w:b/>
          <w:color w:val="000000"/>
        </w:rPr>
        <w:t>Bibliography</w:t>
      </w:r>
    </w:p>
    <w:p>
      <w:pPr>
        <w:pStyle w:val="Normal"/>
        <w:widowControl w:val="false"/>
        <w:spacing w:lineRule="auto" w:line="480"/>
        <w:rPr>
          <w:color w:val="1A1718"/>
        </w:rPr>
      </w:pPr>
      <w:r>
        <w:rPr>
          <w:color w:val="1A1718"/>
        </w:rPr>
      </w:r>
    </w:p>
    <w:p>
      <w:pPr>
        <w:pStyle w:val="Normal"/>
        <w:widowControl w:val="false"/>
        <w:spacing w:lineRule="auto" w:line="480"/>
        <w:rPr>
          <w:color w:val="1A1718"/>
        </w:rPr>
      </w:pPr>
      <w:r>
        <w:rPr>
          <w:color w:val="1A1718"/>
        </w:rPr>
        <w:t xml:space="preserve">Cyril of Alexandria. </w:t>
      </w:r>
      <w:r>
        <w:rPr>
          <w:i/>
          <w:color w:val="1A1718"/>
        </w:rPr>
        <w:t>Commentarius in Oseam prophetam</w:t>
      </w:r>
      <w:r>
        <w:rPr>
          <w:color w:val="1A1718"/>
        </w:rPr>
        <w:t xml:space="preserve">. PG 71:9–327. </w:t>
      </w:r>
    </w:p>
    <w:p>
      <w:pPr>
        <w:pStyle w:val="Normal"/>
        <w:widowControl w:val="false"/>
        <w:spacing w:lineRule="auto" w:line="480"/>
        <w:rPr>
          <w:color w:val="1A1718"/>
        </w:rPr>
      </w:pPr>
      <w:r>
        <w:rPr>
          <w:color w:val="1A1718"/>
        </w:rPr>
      </w:r>
    </w:p>
    <w:p>
      <w:pPr>
        <w:pStyle w:val="Normal"/>
        <w:widowControl w:val="false"/>
        <w:spacing w:lineRule="auto" w:line="480"/>
        <w:rPr>
          <w:rFonts w:ascii="Times Roman" w:hAnsi="Times Roman" w:cs="Times Roman"/>
          <w:color w:val="000000"/>
        </w:rPr>
      </w:pPr>
      <w:r>
        <w:rPr>
          <w:color w:val="1A1718"/>
        </w:rPr>
        <w:t xml:space="preserve">Jacob of Sarug. </w:t>
      </w:r>
      <w:r>
        <w:rPr>
          <w:rFonts w:cs="Times Italic" w:ascii="Times Italic" w:hAnsi="Times Italic"/>
          <w:i/>
          <w:iCs/>
          <w:color w:val="000000"/>
        </w:rPr>
        <w:t xml:space="preserve">Memra de-‘al Hoshe‘ nebiya ve-‘al tarten neshen de-nesab </w:t>
      </w:r>
      <w:r>
        <w:rPr>
          <w:rFonts w:cs="Times Roman" w:ascii="Times Roman" w:hAnsi="Times Roman"/>
          <w:color w:val="000000"/>
        </w:rPr>
        <w:t xml:space="preserve">[The Verse </w:t>
      </w:r>
    </w:p>
    <w:p>
      <w:pPr>
        <w:pStyle w:val="Normal"/>
        <w:widowControl w:val="false"/>
        <w:spacing w:lineRule="auto" w:line="480"/>
        <w:ind w:hanging="0" w:start="720"/>
        <w:rPr>
          <w:rFonts w:ascii="Times Roman" w:hAnsi="Times Roman" w:cs="Times Roman"/>
          <w:color w:val="000000"/>
          <w:lang w:val="de-DE"/>
        </w:rPr>
      </w:pPr>
      <w:r>
        <w:rPr>
          <w:rFonts w:cs="Times Roman" w:ascii="Times Roman" w:hAnsi="Times Roman"/>
          <w:color w:val="000000"/>
        </w:rPr>
        <w:t xml:space="preserve">Homily on Hosea the Prophet and on the Two Women That He Took]. </w:t>
      </w:r>
      <w:r>
        <w:rPr>
          <w:rFonts w:cs="Times Roman" w:ascii="Times Roman" w:hAnsi="Times Roman"/>
          <w:color w:val="000000"/>
          <w:lang w:val="de-DE"/>
        </w:rPr>
        <w:t xml:space="preserve">In Strothmann Werner (ed., transl.), </w:t>
      </w:r>
      <w:r>
        <w:rPr>
          <w:rFonts w:cs="Times Italic" w:ascii="Times Italic" w:hAnsi="Times Italic"/>
          <w:i/>
          <w:iCs/>
          <w:color w:val="000000"/>
          <w:lang w:val="de-DE"/>
        </w:rPr>
        <w:t xml:space="preserve">Jakob von Sarug: Der Prophet Hosea </w:t>
      </w:r>
      <w:r>
        <w:rPr>
          <w:rFonts w:cs="Times Roman" w:ascii="Times Roman" w:hAnsi="Times Roman"/>
          <w:color w:val="000000"/>
          <w:lang w:val="de-DE"/>
        </w:rPr>
        <w:t xml:space="preserve">(Göttinger Orientforschungen 5; Wiesbaden: Harrassowitz, 1973). </w:t>
      </w:r>
    </w:p>
    <w:p>
      <w:pPr>
        <w:pStyle w:val="Normal"/>
        <w:widowControl w:val="false"/>
        <w:spacing w:lineRule="auto" w:line="480"/>
        <w:rPr>
          <w:color w:val="1A1718"/>
          <w:lang w:val="de-DE"/>
        </w:rPr>
      </w:pPr>
      <w:r>
        <w:rPr>
          <w:color w:val="1A1718"/>
          <w:lang w:val="de-DE"/>
        </w:rPr>
      </w:r>
    </w:p>
    <w:p>
      <w:pPr>
        <w:pStyle w:val="Normal"/>
        <w:widowControl w:val="false"/>
        <w:spacing w:lineRule="auto" w:line="480"/>
        <w:rPr>
          <w:color w:val="1A1718"/>
        </w:rPr>
      </w:pPr>
      <w:r>
        <w:rPr>
          <w:color w:val="1A1718"/>
          <w:lang w:val="it-IT"/>
        </w:rPr>
        <w:t xml:space="preserve">Jerome. </w:t>
      </w:r>
      <w:r>
        <w:rPr>
          <w:rFonts w:cs="Times Italic" w:ascii="Times Italic" w:hAnsi="Times Italic"/>
          <w:i/>
          <w:iCs/>
          <w:color w:val="000000"/>
          <w:lang w:val="it-IT"/>
        </w:rPr>
        <w:t>Commentariorum in Osee prophetam</w:t>
      </w:r>
      <w:r>
        <w:rPr>
          <w:color w:val="1A1718"/>
          <w:lang w:val="it-IT"/>
        </w:rPr>
        <w:t xml:space="preserve">. </w:t>
      </w:r>
      <w:r>
        <w:rPr>
          <w:color w:val="1A1718"/>
        </w:rPr>
        <w:t>PL 25:815–946.</w:t>
      </w:r>
    </w:p>
    <w:p>
      <w:pPr>
        <w:pStyle w:val="Normal"/>
        <w:widowControl w:val="false"/>
        <w:spacing w:lineRule="auto" w:line="480"/>
        <w:rPr>
          <w:color w:val="1A1718"/>
        </w:rPr>
      </w:pPr>
      <w:r>
        <w:rPr>
          <w:color w:val="1A1718"/>
        </w:rPr>
      </w:r>
    </w:p>
    <w:p>
      <w:pPr>
        <w:pStyle w:val="Normal"/>
        <w:widowControl w:val="false"/>
        <w:spacing w:lineRule="auto" w:line="480"/>
        <w:rPr>
          <w:color w:val="1A1718"/>
        </w:rPr>
      </w:pPr>
      <w:r>
        <w:rPr>
          <w:color w:val="1A1718"/>
        </w:rPr>
        <w:t xml:space="preserve">Theodore of Mopsuestia. </w:t>
      </w:r>
      <w:r>
        <w:rPr>
          <w:i/>
          <w:color w:val="1A1718"/>
        </w:rPr>
        <w:t>Commentarius in Oseam prophetam</w:t>
      </w:r>
      <w:r>
        <w:rPr>
          <w:color w:val="1A1718"/>
        </w:rPr>
        <w:t>. PG 66:124–209.</w:t>
      </w:r>
    </w:p>
    <w:p>
      <w:pPr>
        <w:pStyle w:val="Normal"/>
        <w:widowControl w:val="false"/>
        <w:spacing w:lineRule="auto" w:line="480"/>
        <w:rPr>
          <w:color w:val="1A1718"/>
        </w:rPr>
      </w:pPr>
      <w:r>
        <w:rPr>
          <w:color w:val="1A1718"/>
        </w:rPr>
      </w:r>
    </w:p>
    <w:p>
      <w:pPr>
        <w:pStyle w:val="Normal"/>
        <w:widowControl w:val="false"/>
        <w:spacing w:lineRule="auto" w:line="480"/>
        <w:rPr/>
      </w:pPr>
      <w:r>
        <w:rPr>
          <w:color w:val="1A1718"/>
        </w:rPr>
        <w:t xml:space="preserve">Theodoret of Cyrus. </w:t>
      </w:r>
      <w:r>
        <w:rPr>
          <w:i/>
          <w:iCs/>
          <w:color w:val="000000"/>
        </w:rPr>
        <w:t xml:space="preserve">Enarratio in Oseam prophetam. </w:t>
      </w:r>
      <w:r>
        <w:rPr>
          <w:iCs/>
          <w:color w:val="000000"/>
        </w:rPr>
        <w:t xml:space="preserve">PG 81:1551–1632. </w:t>
      </w:r>
    </w:p>
    <w:sectPr>
      <w:headerReference w:type="even" r:id="rId5"/>
      <w:headerReference w:type="default" r:id="rId6"/>
      <w:headerReference w:type="first" r:id="rId7"/>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Lucida Grande">
    <w:charset w:val="01"/>
    <w:family w:val="swiss"/>
    <w:pitch w:val="default"/>
  </w:font>
  <w:font w:name="Liberation Sans">
    <w:altName w:val="Arial"/>
    <w:charset w:val="01"/>
    <w:family w:val="swiss"/>
    <w:pitch w:val="default"/>
  </w:font>
  <w:font w:name="KarminaSans">
    <w:charset w:val="01"/>
    <w:family w:val="swiss"/>
    <w:pitch w:val="default"/>
  </w:font>
  <w:font w:name="Times Italic">
    <w:charset w:val="01"/>
    <w:family w:val="swiss"/>
    <w:pitch w:val="default"/>
  </w:font>
  <w:font w:name="Times Roman">
    <w:altName w:val="Times New Roman"/>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b/>
        </w:rPr>
      </w:pPr>
      <w:r>
        <w:rPr>
          <w:rStyle w:val="FootnoteCharacters"/>
        </w:rPr>
        <w:footnoteRef/>
      </w:r>
      <w:r>
        <w:rPr>
          <w:b/>
        </w:rPr>
        <w:t xml:space="preserve">Textual Annotations </w:t>
      </w:r>
    </w:p>
    <w:p>
      <w:pPr>
        <w:pStyle w:val="FootnoteText"/>
        <w:rPr/>
      </w:pPr>
      <w:r>
        <w:rPr/>
      </w:r>
    </w:p>
    <w:p>
      <w:pPr>
        <w:pStyle w:val="FootnoteText"/>
        <w:rPr/>
      </w:pPr>
      <w:r>
        <w:rPr/>
        <w:t xml:space="preserve"> </w:t>
      </w:r>
      <w:r>
        <w:rPr/>
        <w:t>MT: “beloved by a friend.”</w:t>
      </w:r>
    </w:p>
  </w:footnote>
  <w:footnote w:id="3">
    <w:p>
      <w:pPr>
        <w:pStyle w:val="FootnoteText"/>
        <w:rPr/>
      </w:pPr>
      <w:r>
        <w:rPr>
          <w:rStyle w:val="FootnoteCharacters"/>
        </w:rPr>
        <w:footnoteRef/>
      </w:r>
      <w:r>
        <w:rPr/>
        <w:t xml:space="preserve"> </w:t>
      </w:r>
      <w:r>
        <w:rPr/>
        <w:t>MT: “I bought [her].”</w:t>
      </w:r>
    </w:p>
  </w:footnote>
  <w:footnote w:id="4">
    <w:p>
      <w:pPr>
        <w:pStyle w:val="FootnoteText"/>
        <w:rPr/>
      </w:pPr>
      <w:r>
        <w:rPr>
          <w:rStyle w:val="FootnoteCharacters"/>
        </w:rPr>
        <w:footnoteRef/>
      </w:r>
      <w:r>
        <w:rPr/>
        <w:t xml:space="preserve"> </w:t>
      </w:r>
      <w:r>
        <w:rPr/>
        <w:t>MT: “a letech of barley.”</w:t>
      </w:r>
    </w:p>
  </w:footnote>
  <w:footnote w:id="5">
    <w:p>
      <w:pPr>
        <w:pStyle w:val="FootnoteText"/>
        <w:rPr/>
      </w:pPr>
      <w:r>
        <w:rPr>
          <w:rStyle w:val="FootnoteCharacters"/>
        </w:rPr>
        <w:footnoteRef/>
      </w:r>
      <w:r>
        <w:rPr/>
        <w:t xml:space="preserve"> </w:t>
      </w:r>
      <w:r>
        <w:rPr/>
        <w:t>MT: “ephod.”</w:t>
      </w:r>
    </w:p>
  </w:footnote>
  <w:footnote w:id="6">
    <w:p>
      <w:pPr>
        <w:pStyle w:val="FootnoteText"/>
        <w:rPr/>
      </w:pPr>
      <w:r>
        <w:rPr>
          <w:rStyle w:val="FootnoteCharacters"/>
        </w:rPr>
        <w:footnoteRef/>
      </w:r>
      <w:r>
        <w:rPr/>
        <w:t xml:space="preserve"> </w:t>
      </w:r>
      <w:r>
        <w:rPr/>
        <w:t>MT: “teraphim.”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360"/>
      <w:rPr/>
    </w:pPr>
    <w:r>
      <w:rPr/>
      <mc:AlternateContent>
        <mc:Choice Requires="wps">
          <w:drawing>
            <wp:anchor distT="0" distB="0" distL="0" distR="0" simplePos="0" relativeHeight="3"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360"/>
      <w:rPr/>
    </w:pPr>
    <w:r>
      <w:rPr/>
      <mc:AlternateContent>
        <mc:Choice Requires="wps">
          <w:drawing>
            <wp:anchor distT="0" distB="0" distL="0" distR="0" simplePos="0" relativeHeight="40"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2" name="Frame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19.9pt;margin-top:0.05pt;width:12pt;height:13.65pt;mso-wrap-style:square;v-text-anchor:top;mso-position-horizontal:right;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15</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360"/>
      <w:rPr/>
    </w:pPr>
    <w:r>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3"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360"/>
      <w:rPr/>
    </w:pPr>
    <w:r>
      <w:rPr/>
      <mc:AlternateContent>
        <mc:Choice Requires="wps">
          <w:drawing>
            <wp:anchor distT="0" distB="0" distL="0" distR="0" simplePos="0" relativeHeight="12"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4" name="Frame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19.9pt;margin-top:0.05pt;width:12pt;height:13.65pt;mso-wrap-style:square;v-text-anchor:top;mso-position-horizontal:right;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5">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mailMerge>
    <w:mainDocumentType w:val="formLetters"/>
    <w:dataType w:val="textFile"/>
    <w:query w:val="SELECT * FROM Syllabus Data.dbo.Date Data$"/>
  </w:mailMerge>
  <w:defaultTabStop w:val="720"/>
  <w:autoHyphenation w:val="true"/>
  <w:hyphenationZone w:val="36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sz w:val="24"/>
        <w:szCs w:val="24"/>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07363"/>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91578"/>
    <w:rPr>
      <w:rFonts w:eastAsia="Times New Roman"/>
    </w:rPr>
  </w:style>
  <w:style w:type="character" w:styleId="PageNumber">
    <w:name w:val="page number"/>
    <w:basedOn w:val="DefaultParagraphFont"/>
    <w:uiPriority w:val="99"/>
    <w:semiHidden/>
    <w:unhideWhenUsed/>
    <w:qFormat/>
    <w:rsid w:val="00091578"/>
    <w:rPr/>
  </w:style>
  <w:style w:type="character" w:styleId="kursiv" w:customStyle="1">
    <w:name w:val="kursiv"/>
    <w:uiPriority w:val="99"/>
    <w:qFormat/>
    <w:rsid w:val="001546d5"/>
    <w:rPr>
      <w:i/>
    </w:rPr>
  </w:style>
  <w:style w:type="character" w:styleId="fed" w:customStyle="1">
    <w:name w:val="fed"/>
    <w:uiPriority w:val="99"/>
    <w:qFormat/>
    <w:rsid w:val="001546d5"/>
    <w:rPr>
      <w:b/>
    </w:rPr>
  </w:style>
  <w:style w:type="character" w:styleId="FootnoteTextChar" w:customStyle="1">
    <w:name w:val="Footnote Text Char"/>
    <w:basedOn w:val="DefaultParagraphFont"/>
    <w:link w:val="FootnoteText"/>
    <w:uiPriority w:val="99"/>
    <w:qFormat/>
    <w:rsid w:val="00874af3"/>
    <w:rPr>
      <w:rFonts w:eastAsia="Times New Roman"/>
    </w:rPr>
  </w:style>
  <w:style w:type="character" w:styleId="FootnoteCharacters">
    <w:name w:val="Footnote Characters"/>
    <w:uiPriority w:val="99"/>
    <w:unhideWhenUsed/>
    <w:qFormat/>
    <w:rsid w:val="00874af3"/>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BalloonTextChar" w:customStyle="1">
    <w:name w:val="Balloon Text Char"/>
    <w:basedOn w:val="DefaultParagraphFont"/>
    <w:link w:val="BalloonText"/>
    <w:uiPriority w:val="99"/>
    <w:semiHidden/>
    <w:qFormat/>
    <w:rsid w:val="00e82575"/>
    <w:rPr>
      <w:rFonts w:ascii="Lucida Grande" w:hAnsi="Lucida Grande" w:eastAsia="Times New Roman" w:cs="Lucida Grande"/>
      <w:sz w:val="18"/>
      <w:szCs w:val="18"/>
    </w:rPr>
  </w:style>
  <w:style w:type="character" w:styleId="CommentReference">
    <w:name w:val="annotation reference"/>
    <w:basedOn w:val="DefaultParagraphFont"/>
    <w:uiPriority w:val="99"/>
    <w:semiHidden/>
    <w:unhideWhenUsed/>
    <w:qFormat/>
    <w:rsid w:val="008d24ee"/>
    <w:rPr>
      <w:sz w:val="16"/>
      <w:szCs w:val="16"/>
    </w:rPr>
  </w:style>
  <w:style w:type="character" w:styleId="CommentTextChar" w:customStyle="1">
    <w:name w:val="Comment Text Char"/>
    <w:basedOn w:val="DefaultParagraphFont"/>
    <w:link w:val="CommentText"/>
    <w:uiPriority w:val="99"/>
    <w:semiHidden/>
    <w:qFormat/>
    <w:rsid w:val="008d24ee"/>
    <w:rPr>
      <w:rFonts w:eastAsia="Times New Roman"/>
      <w:sz w:val="20"/>
      <w:szCs w:val="20"/>
    </w:rPr>
  </w:style>
  <w:style w:type="character" w:styleId="CommentSubjectChar" w:customStyle="1">
    <w:name w:val="Comment Subject Char"/>
    <w:basedOn w:val="CommentTextChar"/>
    <w:link w:val="annotationsubject"/>
    <w:uiPriority w:val="99"/>
    <w:semiHidden/>
    <w:qFormat/>
    <w:rsid w:val="008d24ee"/>
    <w:rPr>
      <w:rFonts w:eastAsia="Times New Roman"/>
      <w:b/>
      <w:bCs/>
      <w:sz w:val="20"/>
      <w:szCs w:val="20"/>
    </w:rPr>
  </w:style>
  <w:style w:type="character" w:styleId="Emphasis">
    <w:name w:val="Emphasis"/>
    <w:qFormat/>
    <w:rPr>
      <w:i/>
      <w:iCs/>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DejaVu Sans" w:cs="FreeSans"/>
      <w:sz w:val="24"/>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FreeSans"/>
    </w:rPr>
  </w:style>
  <w:style w:type="paragraph" w:styleId="Caption">
    <w:name w:val="caption"/>
    <w:basedOn w:val="Normal"/>
    <w:qFormat/>
    <w:pPr>
      <w:suppressLineNumbers/>
      <w:spacing w:before="120" w:after="120"/>
    </w:pPr>
    <w:rPr>
      <w:rFonts w:ascii="Liberation Sans" w:hAnsi="Liberation Sans" w:cs="FreeSans"/>
      <w:i/>
      <w:iCs/>
      <w:sz w:val="24"/>
      <w:szCs w:val="24"/>
    </w:rPr>
  </w:style>
  <w:style w:type="paragraph" w:styleId="Index">
    <w:name w:val="Index"/>
    <w:basedOn w:val="Normal"/>
    <w:qFormat/>
    <w:pPr>
      <w:suppressLineNumbers/>
    </w:pPr>
    <w:rPr>
      <w:rFonts w:ascii="Liberation Sans" w:hAnsi="Liberation San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091578"/>
    <w:pPr>
      <w:tabs>
        <w:tab w:val="clear" w:pos="720"/>
        <w:tab w:val="center" w:pos="4320" w:leader="none"/>
        <w:tab w:val="right" w:pos="8640" w:leader="none"/>
      </w:tabs>
    </w:pPr>
    <w:rPr/>
  </w:style>
  <w:style w:type="paragraph" w:styleId="kommentarafsnit" w:customStyle="1">
    <w:name w:val="kommentar_afsnit"/>
    <w:basedOn w:val="Normal"/>
    <w:uiPriority w:val="99"/>
    <w:qFormat/>
    <w:rsid w:val="001546d5"/>
    <w:pPr>
      <w:widowControl w:val="false"/>
      <w:tabs>
        <w:tab w:val="clear" w:pos="720"/>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 w:val="left" w:pos="2640" w:leader="none"/>
        <w:tab w:val="left" w:pos="2860" w:leader="none"/>
        <w:tab w:val="left" w:pos="3080" w:leader="none"/>
        <w:tab w:val="left" w:pos="3300" w:leader="none"/>
        <w:tab w:val="left" w:pos="3520" w:leader="none"/>
        <w:tab w:val="left" w:pos="3740" w:leader="none"/>
        <w:tab w:val="left" w:pos="3960" w:leader="none"/>
        <w:tab w:val="left" w:pos="4180" w:leader="none"/>
        <w:tab w:val="left" w:pos="4400" w:leader="none"/>
        <w:tab w:val="left" w:pos="4620" w:leader="none"/>
        <w:tab w:val="left" w:pos="4840" w:leader="none"/>
        <w:tab w:val="left" w:pos="5060" w:leader="none"/>
        <w:tab w:val="left" w:pos="5280" w:leader="none"/>
        <w:tab w:val="left" w:pos="5500" w:leader="none"/>
        <w:tab w:val="left" w:pos="5720" w:leader="none"/>
        <w:tab w:val="left" w:pos="5940" w:leader="none"/>
        <w:tab w:val="left" w:pos="6160" w:leader="none"/>
        <w:tab w:val="left" w:pos="6380" w:leader="none"/>
        <w:tab w:val="left" w:pos="6600" w:leader="none"/>
        <w:tab w:val="left" w:pos="6820" w:leader="none"/>
        <w:tab w:val="left" w:pos="7040" w:leader="none"/>
        <w:tab w:val="left" w:pos="7260" w:leader="none"/>
      </w:tabs>
      <w:spacing w:lineRule="atLeast" w:line="220"/>
      <w:ind w:firstLine="220"/>
      <w:jc w:val="both"/>
      <w:textAlignment w:val="center"/>
    </w:pPr>
    <w:rPr>
      <w:rFonts w:ascii="KarminaSans" w:hAnsi="KarminaSans" w:cs="KarminaSans"/>
      <w:color w:val="000000"/>
      <w:sz w:val="16"/>
      <w:szCs w:val="16"/>
      <w:lang w:val="en-GB"/>
    </w:rPr>
  </w:style>
  <w:style w:type="paragraph" w:styleId="FootnoteText">
    <w:name w:val="footnote text"/>
    <w:basedOn w:val="Normal"/>
    <w:link w:val="FootnoteTextChar"/>
    <w:uiPriority w:val="99"/>
    <w:unhideWhenUsed/>
    <w:rsid w:val="00874af3"/>
    <w:pPr/>
    <w:rPr/>
  </w:style>
  <w:style w:type="paragraph" w:styleId="ListParagraph">
    <w:name w:val="List Paragraph"/>
    <w:basedOn w:val="Normal"/>
    <w:uiPriority w:val="34"/>
    <w:qFormat/>
    <w:rsid w:val="00496e03"/>
    <w:pPr>
      <w:spacing w:before="0" w:after="0"/>
      <w:ind w:hanging="0" w:start="720"/>
      <w:contextualSpacing/>
    </w:pPr>
    <w:rPr/>
  </w:style>
  <w:style w:type="paragraph" w:styleId="Revision">
    <w:name w:val="Revision"/>
    <w:uiPriority w:val="99"/>
    <w:semiHidden/>
    <w:qFormat/>
    <w:rsid w:val="006921e4"/>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BalloonText">
    <w:name w:val="Balloon Text"/>
    <w:basedOn w:val="Normal"/>
    <w:link w:val="BalloonTextChar"/>
    <w:uiPriority w:val="99"/>
    <w:semiHidden/>
    <w:unhideWhenUsed/>
    <w:qFormat/>
    <w:rsid w:val="00e82575"/>
    <w:pPr/>
    <w:rPr>
      <w:rFonts w:ascii="Lucida Grande" w:hAnsi="Lucida Grande" w:cs="Lucida Grande"/>
      <w:sz w:val="18"/>
      <w:szCs w:val="18"/>
    </w:rPr>
  </w:style>
  <w:style w:type="paragraph" w:styleId="CommentText">
    <w:name w:val="annotation text"/>
    <w:basedOn w:val="Normal"/>
    <w:link w:val="CommentTextChar"/>
    <w:uiPriority w:val="99"/>
    <w:semiHidden/>
    <w:unhideWhenUsed/>
    <w:qFormat/>
    <w:rsid w:val="008d24ee"/>
    <w:pPr/>
    <w:rPr>
      <w:sz w:val="20"/>
      <w:szCs w:val="20"/>
    </w:rPr>
  </w:style>
  <w:style w:type="paragraph" w:styleId="annotationsubject">
    <w:name w:val="annotation subject"/>
    <w:basedOn w:val="CommentText"/>
    <w:next w:val="CommentText"/>
    <w:link w:val="CommentSubjectChar"/>
    <w:uiPriority w:val="99"/>
    <w:semiHidden/>
    <w:unhideWhenUsed/>
    <w:qFormat/>
    <w:rsid w:val="008d24ee"/>
    <w:pPr/>
    <w:rPr>
      <w:b/>
      <w:bCs/>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LibreOffice/26.2.1.2$Linux_X86_64 LibreOffice_project/8399f6259d8c87f40e7255cdb3c9b958f5e08948</Application>
  <AppVersion>15.0000</AppVersion>
  <Pages>21</Pages>
  <Words>4240</Words>
  <Characters>22430</Characters>
  <CharactersWithSpaces>26405</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2025-06-14T13:21:00Z</dcterms:created>
  <dc:creator>Eugen Pentiuc</dc:creator>
  <dc:description/>
  <dc:language>en-US</dc:language>
  <cp:lastModifiedBy>J. David Stark</cp:lastModifiedBy>
  <dcterms:modified xsi:type="dcterms:W3CDTF">2026-03-13T12:48:30Z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